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F799B9" w14:textId="0018D5F9" w:rsidR="00EA7E07" w:rsidRPr="00280956" w:rsidRDefault="00EA7E07" w:rsidP="00EA7E07">
      <w:pPr>
        <w:tabs>
          <w:tab w:val="left" w:pos="1985"/>
        </w:tabs>
        <w:spacing w:after="0"/>
        <w:ind w:left="281" w:hangingChars="100" w:hanging="281"/>
        <w:rPr>
          <w:rFonts w:ascii="Arial" w:eastAsiaTheme="minorEastAsia" w:hAnsi="Arial" w:cs="Arial"/>
          <w:b/>
          <w:bCs/>
          <w:sz w:val="28"/>
          <w:lang w:eastAsia="ko-KR"/>
        </w:rPr>
      </w:pPr>
      <w:bookmarkStart w:id="0" w:name="_GoBack"/>
      <w:bookmarkEnd w:id="0"/>
      <w:r w:rsidRPr="0052548E">
        <w:rPr>
          <w:rFonts w:ascii="Arial" w:hAnsi="Arial" w:cs="Arial"/>
          <w:b/>
          <w:bCs/>
          <w:sz w:val="28"/>
        </w:rPr>
        <w:t xml:space="preserve">3GPP TSG RAN WG1 </w:t>
      </w:r>
      <w:r>
        <w:rPr>
          <w:rFonts w:ascii="Arial" w:eastAsiaTheme="minorEastAsia" w:hAnsi="Arial" w:cs="Arial" w:hint="eastAsia"/>
          <w:b/>
          <w:bCs/>
          <w:sz w:val="28"/>
          <w:lang w:eastAsia="ko-KR"/>
        </w:rPr>
        <w:t>Meeting</w:t>
      </w:r>
      <w:r>
        <w:rPr>
          <w:rFonts w:ascii="Arial" w:hAnsi="Arial" w:cs="Arial"/>
          <w:b/>
          <w:bCs/>
          <w:sz w:val="28"/>
        </w:rPr>
        <w:t xml:space="preserve"> #9</w:t>
      </w:r>
      <w:r w:rsidR="00E10555">
        <w:rPr>
          <w:rFonts w:ascii="Arial" w:hAnsi="Arial" w:cs="Arial"/>
          <w:b/>
          <w:bCs/>
          <w:sz w:val="28"/>
        </w:rPr>
        <w:t>4</w:t>
      </w:r>
      <w:r w:rsidR="003F6FED">
        <w:rPr>
          <w:rFonts w:ascii="Arial" w:hAnsi="Arial" w:cs="Arial"/>
          <w:b/>
          <w:bCs/>
          <w:sz w:val="28"/>
        </w:rPr>
        <w:t>bis</w:t>
      </w:r>
      <w:r>
        <w:rPr>
          <w:rFonts w:ascii="Arial" w:eastAsia="맑은 고딕" w:hAnsi="Arial" w:cs="Arial"/>
          <w:b/>
          <w:bCs/>
          <w:sz w:val="28"/>
          <w:lang w:eastAsia="ko-KR"/>
        </w:rPr>
        <w:t xml:space="preserve">     </w:t>
      </w:r>
      <w:r>
        <w:rPr>
          <w:rFonts w:ascii="Arial" w:eastAsia="맑은 고딕" w:hAnsi="Arial" w:cs="Arial"/>
          <w:b/>
          <w:bCs/>
          <w:sz w:val="28"/>
          <w:lang w:eastAsia="ko-KR"/>
        </w:rPr>
        <w:tab/>
      </w:r>
      <w:r>
        <w:rPr>
          <w:rFonts w:ascii="Arial" w:eastAsia="맑은 고딕" w:hAnsi="Arial" w:cs="Arial"/>
          <w:b/>
          <w:bCs/>
          <w:sz w:val="28"/>
          <w:lang w:eastAsia="ko-KR"/>
        </w:rPr>
        <w:tab/>
        <w:t xml:space="preserve"> </w:t>
      </w:r>
      <w:r w:rsidRPr="00C333B5">
        <w:rPr>
          <w:rFonts w:ascii="Arial" w:eastAsia="맑은 고딕" w:hAnsi="Arial" w:cs="Arial" w:hint="eastAsia"/>
          <w:b/>
          <w:bCs/>
          <w:sz w:val="28"/>
          <w:lang w:eastAsia="ko-KR"/>
        </w:rPr>
        <w:tab/>
      </w:r>
      <w:r>
        <w:rPr>
          <w:rFonts w:ascii="Arial" w:eastAsia="맑은 고딕" w:hAnsi="Arial" w:cs="Arial"/>
          <w:b/>
          <w:bCs/>
          <w:sz w:val="28"/>
          <w:lang w:eastAsia="ko-KR"/>
        </w:rPr>
        <w:tab/>
      </w:r>
      <w:r w:rsidRPr="00506024">
        <w:rPr>
          <w:rFonts w:ascii="Arial" w:hAnsi="Arial" w:cs="Arial"/>
          <w:b/>
          <w:bCs/>
          <w:sz w:val="28"/>
        </w:rPr>
        <w:t>R1-</w:t>
      </w:r>
      <w:r w:rsidR="00EC5220" w:rsidRPr="00506024">
        <w:rPr>
          <w:rFonts w:ascii="Arial" w:hAnsi="Arial" w:cs="Arial"/>
          <w:b/>
          <w:bCs/>
          <w:sz w:val="28"/>
        </w:rPr>
        <w:t>1</w:t>
      </w:r>
      <w:r w:rsidR="00EC5220">
        <w:rPr>
          <w:rFonts w:ascii="Arial" w:hAnsi="Arial" w:cs="Arial"/>
          <w:b/>
          <w:bCs/>
          <w:sz w:val="28"/>
        </w:rPr>
        <w:t>8</w:t>
      </w:r>
      <w:r w:rsidR="00EC5220">
        <w:rPr>
          <w:rFonts w:ascii="Arial" w:eastAsia="바탕체" w:hAnsi="Arial" w:cs="Arial"/>
          <w:b/>
          <w:bCs/>
          <w:sz w:val="28"/>
          <w:lang w:eastAsia="ko-KR"/>
        </w:rPr>
        <w:t>10259</w:t>
      </w:r>
    </w:p>
    <w:p w14:paraId="3BD11132" w14:textId="161E01CA" w:rsidR="00EA7E07" w:rsidRPr="003F6FED" w:rsidRDefault="00EC5220" w:rsidP="00EA7E07">
      <w:pPr>
        <w:tabs>
          <w:tab w:val="left" w:pos="1985"/>
        </w:tabs>
        <w:spacing w:after="0"/>
        <w:ind w:left="0" w:firstLine="0"/>
        <w:rPr>
          <w:rFonts w:ascii="Arial" w:eastAsia="맑은 고딕" w:hAnsi="Arial" w:cs="Arial"/>
          <w:b/>
          <w:bCs/>
          <w:strike/>
          <w:sz w:val="28"/>
          <w:lang w:eastAsia="ko-KR"/>
        </w:rPr>
      </w:pPr>
      <w:r>
        <w:rPr>
          <w:rFonts w:ascii="Arial" w:hAnsi="Arial" w:cs="Arial"/>
          <w:b/>
          <w:bCs/>
          <w:sz w:val="28"/>
          <w:lang w:eastAsia="ja-JP"/>
        </w:rPr>
        <w:t>Chengdu, China, October 8</w:t>
      </w:r>
      <w:r>
        <w:rPr>
          <w:rFonts w:ascii="Arial" w:hAnsi="Arial" w:cs="Arial"/>
          <w:b/>
          <w:bCs/>
          <w:sz w:val="28"/>
          <w:vertAlign w:val="superscript"/>
          <w:lang w:eastAsia="ja-JP"/>
        </w:rPr>
        <w:t>th</w:t>
      </w:r>
      <w:r>
        <w:rPr>
          <w:rFonts w:ascii="Arial" w:hAnsi="Arial" w:cs="Arial"/>
          <w:b/>
          <w:bCs/>
          <w:sz w:val="28"/>
          <w:lang w:eastAsia="ja-JP"/>
        </w:rPr>
        <w:t xml:space="preserve"> – 12</w:t>
      </w:r>
      <w:r>
        <w:rPr>
          <w:rFonts w:ascii="Arial" w:hAnsi="Arial" w:cs="Arial"/>
          <w:b/>
          <w:bCs/>
          <w:sz w:val="28"/>
          <w:vertAlign w:val="superscript"/>
          <w:lang w:eastAsia="ja-JP"/>
        </w:rPr>
        <w:t>th</w:t>
      </w:r>
      <w:r>
        <w:rPr>
          <w:rFonts w:ascii="Arial" w:hAnsi="Arial" w:cs="Arial"/>
          <w:b/>
          <w:bCs/>
          <w:sz w:val="28"/>
          <w:lang w:eastAsia="ja-JP"/>
        </w:rPr>
        <w:t>, 2018</w:t>
      </w:r>
    </w:p>
    <w:p w14:paraId="6E4462CD" w14:textId="0148103E" w:rsidR="00C238EE" w:rsidRPr="001A71EA" w:rsidRDefault="00EA7E07" w:rsidP="00EA7E07">
      <w:pPr>
        <w:tabs>
          <w:tab w:val="left" w:pos="1985"/>
        </w:tabs>
        <w:spacing w:after="0"/>
        <w:ind w:left="0" w:firstLine="0"/>
        <w:rPr>
          <w:rFonts w:ascii="Arial" w:eastAsia="맑은 고딕" w:hAnsi="Arial"/>
          <w:sz w:val="24"/>
          <w:lang w:val="en-US" w:eastAsia="ko-KR"/>
        </w:rPr>
      </w:pPr>
      <w:r w:rsidRPr="003E43CC">
        <w:rPr>
          <w:rFonts w:ascii="Arial" w:hAnsi="Arial"/>
          <w:b/>
          <w:sz w:val="24"/>
          <w:lang w:val="en-US"/>
        </w:rPr>
        <w:t>Agenda Item:</w:t>
      </w:r>
      <w:r w:rsidRPr="003E43CC">
        <w:rPr>
          <w:rFonts w:ascii="Arial" w:hAnsi="Arial"/>
          <w:sz w:val="24"/>
          <w:lang w:val="en-US"/>
        </w:rPr>
        <w:tab/>
      </w:r>
      <w:r w:rsidR="00EC5220">
        <w:rPr>
          <w:rFonts w:ascii="Arial" w:hAnsi="Arial"/>
          <w:sz w:val="24"/>
          <w:lang w:val="en-US"/>
        </w:rPr>
        <w:t>7.1.4</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129AFCBC"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EC5220" w:rsidRPr="001E67F0">
        <w:rPr>
          <w:rFonts w:ascii="Arial" w:hAnsi="Arial"/>
          <w:sz w:val="24"/>
        </w:rPr>
        <w:t>Remaining issues on NR LTE coexistence</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012C973" w14:textId="77777777" w:rsidR="00406D4D" w:rsidRPr="0028212A" w:rsidRDefault="00406D4D" w:rsidP="00406D4D">
      <w:pPr>
        <w:pStyle w:val="1"/>
        <w:numPr>
          <w:ilvl w:val="0"/>
          <w:numId w:val="1"/>
        </w:numPr>
        <w:rPr>
          <w:rFonts w:eastAsia="바탕" w:cs="Arial"/>
          <w:b/>
          <w:lang w:eastAsia="ko-KR"/>
        </w:rPr>
      </w:pPr>
      <w:r w:rsidRPr="0028212A">
        <w:rPr>
          <w:rFonts w:eastAsia="바탕" w:cs="Arial"/>
          <w:b/>
          <w:lang w:eastAsia="ko-KR"/>
        </w:rPr>
        <w:t>Introduction</w:t>
      </w:r>
    </w:p>
    <w:p w14:paraId="5BC7130C" w14:textId="77777777" w:rsidR="00406D4D" w:rsidRDefault="00406D4D" w:rsidP="00406D4D">
      <w:pPr>
        <w:ind w:left="0" w:firstLine="0"/>
        <w:rPr>
          <w:rFonts w:eastAsiaTheme="minorEastAsia"/>
          <w:b/>
          <w:i/>
          <w:lang w:eastAsia="ko-KR"/>
        </w:rPr>
      </w:pPr>
      <w:r>
        <w:rPr>
          <w:szCs w:val="22"/>
          <w:lang w:eastAsia="ko-KR"/>
        </w:rPr>
        <w:t>In this contribution, we discuss remaining issues related to LTE/NR DC (considering both case of LTE PCell and NR PCell).</w:t>
      </w:r>
    </w:p>
    <w:p w14:paraId="0646436F" w14:textId="1C841A81" w:rsidR="00A00769" w:rsidRDefault="00406D4D" w:rsidP="00A00769">
      <w:pPr>
        <w:pStyle w:val="1"/>
        <w:numPr>
          <w:ilvl w:val="0"/>
          <w:numId w:val="1"/>
        </w:numPr>
        <w:spacing w:after="0"/>
        <w:rPr>
          <w:rFonts w:eastAsiaTheme="minorEastAsia" w:cs="Arial"/>
          <w:b/>
          <w:strike/>
          <w:szCs w:val="28"/>
          <w:lang w:eastAsia="ko-KR"/>
        </w:rPr>
      </w:pPr>
      <w:r>
        <w:rPr>
          <w:rFonts w:eastAsiaTheme="minorEastAsia" w:cs="Arial"/>
          <w:b/>
          <w:szCs w:val="28"/>
          <w:lang w:eastAsia="ko-KR"/>
        </w:rPr>
        <w:t xml:space="preserve">Discussion </w:t>
      </w:r>
      <w:r w:rsidR="00EC5220">
        <w:rPr>
          <w:rFonts w:eastAsiaTheme="minorEastAsia" w:cs="Arial"/>
          <w:b/>
          <w:szCs w:val="28"/>
          <w:lang w:eastAsia="ko-KR"/>
        </w:rPr>
        <w:t xml:space="preserve">on </w:t>
      </w:r>
      <w:r w:rsidR="00EC5220" w:rsidRPr="00216009">
        <w:rPr>
          <w:rFonts w:eastAsiaTheme="minorEastAsia" w:cs="Arial"/>
          <w:b/>
          <w:szCs w:val="28"/>
          <w:lang w:eastAsia="ko-KR"/>
        </w:rPr>
        <w:t>A-MPR for EN-DC</w:t>
      </w:r>
    </w:p>
    <w:p w14:paraId="30CA2F39" w14:textId="3C6426FA" w:rsidR="003E6648" w:rsidRDefault="003E6648" w:rsidP="003E6648">
      <w:pPr>
        <w:ind w:left="0" w:firstLine="0"/>
        <w:rPr>
          <w:rFonts w:eastAsiaTheme="minorEastAsia"/>
          <w:lang w:eastAsia="ko-KR"/>
        </w:rPr>
      </w:pPr>
      <w:r>
        <w:rPr>
          <w:rFonts w:eastAsiaTheme="minorEastAsia"/>
          <w:lang w:eastAsia="ko-KR"/>
        </w:rPr>
        <w:t>I</w:t>
      </w:r>
      <w:r>
        <w:rPr>
          <w:rFonts w:eastAsiaTheme="minorEastAsia" w:hint="eastAsia"/>
          <w:lang w:eastAsia="ko-KR"/>
        </w:rPr>
        <w:t xml:space="preserve">n </w:t>
      </w:r>
      <w:r>
        <w:rPr>
          <w:rFonts w:eastAsiaTheme="minorEastAsia"/>
          <w:lang w:eastAsia="ko-KR"/>
        </w:rPr>
        <w:t xml:space="preserve">the previous meeting, A-MPR in intra-band is discussed </w:t>
      </w:r>
      <w:r w:rsidR="002E3E8D">
        <w:rPr>
          <w:rFonts w:eastAsiaTheme="minorEastAsia"/>
          <w:lang w:eastAsia="ko-KR"/>
        </w:rPr>
        <w:t>to align the gap between RAN1 and RAN4 if any</w:t>
      </w:r>
      <w:r>
        <w:rPr>
          <w:rFonts w:eastAsiaTheme="minorEastAsia"/>
          <w:lang w:eastAsia="ko-KR"/>
        </w:rPr>
        <w:t xml:space="preserve">. </w:t>
      </w:r>
    </w:p>
    <w:p w14:paraId="0A87A63F" w14:textId="28EBCBD8" w:rsidR="002E3E8D" w:rsidRPr="00EC5220" w:rsidRDefault="002E3E8D">
      <w:pPr>
        <w:ind w:left="0" w:firstLine="0"/>
        <w:rPr>
          <w:rFonts w:eastAsiaTheme="minorEastAsia"/>
          <w:lang w:eastAsia="ko-KR"/>
        </w:rPr>
      </w:pPr>
      <w:r>
        <w:rPr>
          <w:rFonts w:eastAsiaTheme="minorEastAsia"/>
          <w:lang w:eastAsia="ko-KR"/>
        </w:rPr>
        <w:t>T</w:t>
      </w:r>
      <w:r w:rsidR="003E6648">
        <w:rPr>
          <w:rFonts w:eastAsiaTheme="minorEastAsia"/>
          <w:lang w:eastAsia="ko-KR"/>
        </w:rPr>
        <w:t xml:space="preserve">he following proposals </w:t>
      </w:r>
      <w:r>
        <w:rPr>
          <w:rFonts w:eastAsiaTheme="minorEastAsia"/>
          <w:lang w:eastAsia="ko-KR"/>
        </w:rPr>
        <w:t xml:space="preserve">were </w:t>
      </w:r>
      <w:r w:rsidR="003E6648">
        <w:rPr>
          <w:rFonts w:eastAsiaTheme="minorEastAsia"/>
          <w:lang w:eastAsia="ko-KR"/>
        </w:rPr>
        <w:t>discussed:</w:t>
      </w:r>
    </w:p>
    <w:p w14:paraId="65E4692E" w14:textId="727A63CA" w:rsidR="002E3E8D" w:rsidRDefault="003E6648" w:rsidP="003E6648">
      <w:pPr>
        <w:pStyle w:val="ad"/>
        <w:numPr>
          <w:ilvl w:val="0"/>
          <w:numId w:val="43"/>
        </w:numPr>
        <w:ind w:leftChars="0"/>
        <w:rPr>
          <w:rFonts w:ascii="Times New Roman" w:eastAsiaTheme="minorEastAsia" w:hAnsi="Times New Roman" w:cs="Times New Roman"/>
        </w:rPr>
      </w:pPr>
      <w:r>
        <w:rPr>
          <w:rFonts w:ascii="Times New Roman" w:eastAsiaTheme="minorEastAsia" w:hAnsi="Times New Roman" w:cs="Times New Roman"/>
        </w:rPr>
        <w:t xml:space="preserve">Alt.1: </w:t>
      </w:r>
      <w:r w:rsidR="002E3E8D">
        <w:rPr>
          <w:rFonts w:ascii="Times New Roman" w:eastAsiaTheme="minorEastAsia" w:hAnsi="Times New Roman" w:cs="Times New Roman"/>
        </w:rPr>
        <w:t xml:space="preserve">LTE computes A-MPR without accounting for NR scheduling. If NR later needs to perform considerable power scaling, a UE may drop NR. </w:t>
      </w:r>
    </w:p>
    <w:p w14:paraId="5C531F83" w14:textId="16A77A48" w:rsidR="002E3E8D" w:rsidRDefault="002E3E8D" w:rsidP="00EC5220">
      <w:pPr>
        <w:pStyle w:val="ad"/>
        <w:numPr>
          <w:ilvl w:val="1"/>
          <w:numId w:val="43"/>
        </w:numPr>
        <w:ind w:leftChars="0"/>
        <w:rPr>
          <w:rFonts w:ascii="Times New Roman" w:eastAsiaTheme="minorEastAsia" w:hAnsi="Times New Roman" w:cs="Times New Roman"/>
        </w:rPr>
      </w:pPr>
      <w:r>
        <w:rPr>
          <w:rFonts w:ascii="Times New Roman" w:eastAsiaTheme="minorEastAsia" w:hAnsi="Times New Roman" w:cs="Times New Roman"/>
        </w:rPr>
        <w:t xml:space="preserve">This option does not seem to be aligned with RAN4’s agreement on equal power scaling. </w:t>
      </w:r>
    </w:p>
    <w:p w14:paraId="3083DCB8" w14:textId="4DB73923" w:rsidR="002E3E8D" w:rsidRDefault="002E3E8D" w:rsidP="002E3E8D">
      <w:pPr>
        <w:pStyle w:val="ad"/>
        <w:numPr>
          <w:ilvl w:val="0"/>
          <w:numId w:val="43"/>
        </w:numPr>
        <w:ind w:leftChars="0"/>
        <w:rPr>
          <w:rFonts w:ascii="Times New Roman" w:eastAsiaTheme="minorEastAsia" w:hAnsi="Times New Roman" w:cs="Times New Roman"/>
        </w:rPr>
      </w:pPr>
      <w:r>
        <w:rPr>
          <w:rFonts w:ascii="Times New Roman" w:eastAsiaTheme="minorEastAsia" w:hAnsi="Times New Roman" w:cs="Times New Roman"/>
        </w:rPr>
        <w:t xml:space="preserve">Alt 2: LTE computes A-MPR with accounting for NR scheduling if possible. If it cannot, it computes A-MPR without considering NR scheduling. If NR later needs to perform considerable power scaling, a UE may drop NR. </w:t>
      </w:r>
    </w:p>
    <w:p w14:paraId="0917D9B2" w14:textId="1B026B5A" w:rsidR="002E3E8D" w:rsidRDefault="002E3E8D" w:rsidP="00EC5220">
      <w:pPr>
        <w:pStyle w:val="ad"/>
        <w:numPr>
          <w:ilvl w:val="1"/>
          <w:numId w:val="43"/>
        </w:numPr>
        <w:ind w:leftChars="0"/>
        <w:rPr>
          <w:rFonts w:ascii="Times New Roman" w:eastAsiaTheme="minorEastAsia" w:hAnsi="Times New Roman" w:cs="Times New Roman"/>
        </w:rPr>
      </w:pPr>
      <w:r>
        <w:rPr>
          <w:rFonts w:ascii="Times New Roman" w:eastAsiaTheme="minorEastAsia" w:hAnsi="Times New Roman" w:cs="Times New Roman"/>
        </w:rPr>
        <w:t xml:space="preserve">This option is more aligned with RAN4’s agreement in our view. </w:t>
      </w:r>
    </w:p>
    <w:p w14:paraId="4FD15262" w14:textId="0713C56A" w:rsidR="002E3E8D" w:rsidRDefault="002E3E8D" w:rsidP="003E6648">
      <w:pPr>
        <w:ind w:left="0" w:firstLine="0"/>
        <w:rPr>
          <w:rFonts w:eastAsiaTheme="minorEastAsia"/>
          <w:lang w:eastAsia="ko-KR"/>
        </w:rPr>
      </w:pPr>
      <w:r>
        <w:rPr>
          <w:rFonts w:eastAsiaTheme="minorEastAsia" w:hint="eastAsia"/>
          <w:lang w:eastAsia="ko-KR"/>
        </w:rPr>
        <w:t>Our general preference is to respect both RAN1 and RAN4</w:t>
      </w:r>
      <w:r>
        <w:rPr>
          <w:rFonts w:eastAsiaTheme="minorEastAsia"/>
          <w:lang w:eastAsia="ko-KR"/>
        </w:rPr>
        <w:t xml:space="preserve">’s agreements, where Alt 2 seems more aligned with that direction. To clarify some FFS points related to Alt 2, we propose the following:  </w:t>
      </w:r>
    </w:p>
    <w:p w14:paraId="66DD2576" w14:textId="20A9E634" w:rsidR="002E3E8D" w:rsidRDefault="003E6648" w:rsidP="002E3E8D">
      <w:pPr>
        <w:pStyle w:val="ad"/>
        <w:numPr>
          <w:ilvl w:val="0"/>
          <w:numId w:val="43"/>
        </w:numPr>
        <w:ind w:leftChars="0"/>
        <w:rPr>
          <w:rFonts w:ascii="Times New Roman" w:eastAsiaTheme="minorEastAsia" w:hAnsi="Times New Roman" w:cs="Times New Roman"/>
        </w:rPr>
      </w:pPr>
      <w:r w:rsidRPr="008F118C">
        <w:rPr>
          <w:rFonts w:ascii="Times New Roman" w:eastAsiaTheme="minorEastAsia" w:hAnsi="Times New Roman" w:cs="Times New Roman"/>
        </w:rPr>
        <w:t>Alt.</w:t>
      </w:r>
      <w:r w:rsidR="002E3E8D">
        <w:rPr>
          <w:rFonts w:ascii="Times New Roman" w:eastAsiaTheme="minorEastAsia" w:hAnsi="Times New Roman" w:cs="Times New Roman"/>
        </w:rPr>
        <w:t>3</w:t>
      </w:r>
      <w:r w:rsidRPr="008F118C">
        <w:rPr>
          <w:rFonts w:ascii="Times New Roman" w:eastAsiaTheme="minorEastAsia" w:hAnsi="Times New Roman" w:cs="Times New Roman"/>
        </w:rPr>
        <w:t xml:space="preserve">: </w:t>
      </w:r>
      <w:r>
        <w:rPr>
          <w:rFonts w:ascii="Times New Roman" w:eastAsiaTheme="minorEastAsia" w:hAnsi="Times New Roman" w:cs="Times New Roman"/>
        </w:rPr>
        <w:t>When NR grant is earlier than LTE gran</w:t>
      </w:r>
      <w:r w:rsidR="002E3E8D">
        <w:rPr>
          <w:rFonts w:ascii="Times New Roman" w:eastAsiaTheme="minorEastAsia" w:hAnsi="Times New Roman" w:cs="Times New Roman"/>
        </w:rPr>
        <w:t xml:space="preserve">t for uplink scheduling for a given slot, LTE takes NR scheduling into account for A-MPR computation. If NR grant is not available upon LTE grant timing, LTE computes A-MPR without considering NR scheduling. Later, if NR later needs to perform considerable power scaling, a UE may drop NR – the same rule of inter-band DC power scaling/dropping can be followed in this case. </w:t>
      </w:r>
    </w:p>
    <w:p w14:paraId="2B8737C7" w14:textId="4A7B24CC" w:rsidR="002E3E8D" w:rsidRDefault="002E3E8D" w:rsidP="00EC5220">
      <w:pPr>
        <w:ind w:left="0" w:firstLine="0"/>
        <w:rPr>
          <w:rFonts w:eastAsiaTheme="minorEastAsia"/>
          <w:b/>
          <w:i/>
        </w:rPr>
      </w:pPr>
      <w:r>
        <w:rPr>
          <w:rFonts w:eastAsiaTheme="minorEastAsia"/>
        </w:rPr>
        <w:t xml:space="preserve">We do not necessarily see the necessity of introducing fast LTE UE processing capability or configurability of different mode (e.g., Alt 1 and Alt 3) at this late stage. </w:t>
      </w:r>
    </w:p>
    <w:p w14:paraId="2130E259" w14:textId="36105019" w:rsidR="002E3E8D" w:rsidRDefault="00406D4D" w:rsidP="00EC5220">
      <w:pPr>
        <w:ind w:left="0" w:firstLine="0"/>
        <w:rPr>
          <w:b/>
          <w:bCs/>
          <w:i/>
          <w:iCs/>
        </w:rPr>
      </w:pPr>
      <w:r>
        <w:rPr>
          <w:rFonts w:eastAsiaTheme="minorEastAsia"/>
          <w:b/>
          <w:i/>
          <w:lang w:eastAsia="ko-KR"/>
        </w:rPr>
        <w:t xml:space="preserve">Proposal </w:t>
      </w:r>
      <w:r w:rsidR="003E6648">
        <w:rPr>
          <w:rFonts w:eastAsiaTheme="minorEastAsia"/>
          <w:b/>
          <w:i/>
          <w:lang w:eastAsia="ko-KR"/>
        </w:rPr>
        <w:t>1</w:t>
      </w:r>
      <w:r w:rsidRPr="00F1061E">
        <w:rPr>
          <w:rFonts w:eastAsiaTheme="minorEastAsia"/>
          <w:b/>
          <w:i/>
          <w:lang w:eastAsia="ko-KR"/>
        </w:rPr>
        <w:t xml:space="preserve">: </w:t>
      </w:r>
      <w:r w:rsidR="002E3E8D">
        <w:rPr>
          <w:b/>
          <w:bCs/>
          <w:i/>
          <w:iCs/>
          <w:lang w:eastAsia="ko-KR"/>
        </w:rPr>
        <w:t>Adopt the following for A-MPR handling in intra-band DC.</w:t>
      </w:r>
    </w:p>
    <w:p w14:paraId="29A1DE62" w14:textId="77777777" w:rsidR="002E3E8D" w:rsidRPr="00EC5220" w:rsidRDefault="002E3E8D" w:rsidP="00EC5220">
      <w:pPr>
        <w:pStyle w:val="ad"/>
        <w:numPr>
          <w:ilvl w:val="0"/>
          <w:numId w:val="43"/>
        </w:numPr>
        <w:ind w:leftChars="0"/>
        <w:rPr>
          <w:b/>
          <w:bCs/>
          <w:i/>
          <w:iCs/>
        </w:rPr>
      </w:pPr>
      <w:r w:rsidRPr="00EC5220">
        <w:rPr>
          <w:rFonts w:ascii="Times New Roman" w:eastAsia="MS Mincho" w:hAnsi="Times New Roman" w:cs="Times New Roman"/>
          <w:b/>
          <w:bCs/>
          <w:i/>
          <w:iCs/>
          <w:lang w:val="en-GB"/>
        </w:rPr>
        <w:t>When NR grant is earlier than LTE grant for uplink scheduling for a give</w:t>
      </w:r>
      <w:r>
        <w:rPr>
          <w:rFonts w:ascii="Times New Roman" w:eastAsia="MS Mincho" w:hAnsi="Times New Roman" w:cs="Times New Roman"/>
          <w:b/>
          <w:bCs/>
          <w:i/>
          <w:iCs/>
          <w:lang w:val="en-GB"/>
        </w:rPr>
        <w:t xml:space="preserve">n slot, LTE takes NR scheduling </w:t>
      </w:r>
      <w:r w:rsidRPr="00EC5220">
        <w:rPr>
          <w:rFonts w:ascii="Times New Roman" w:eastAsia="MS Mincho" w:hAnsi="Times New Roman" w:cs="Times New Roman"/>
          <w:b/>
          <w:bCs/>
          <w:i/>
          <w:iCs/>
          <w:lang w:val="en-GB"/>
        </w:rPr>
        <w:t>into account for A-MPR computation. If NR grant is not available upon LTE grant timing, LTE computes A-MPR without considering NR scheduling. Later, if NR later needs to perform considerable power scaling, a UE may drop NR – the same rule of inter-band DC power scaling/dropping can be followed in this case.</w:t>
      </w:r>
      <w:r w:rsidRPr="00EC5220">
        <w:rPr>
          <w:rFonts w:eastAsiaTheme="minorEastAsia"/>
        </w:rPr>
        <w:t xml:space="preserve"> </w:t>
      </w:r>
    </w:p>
    <w:p w14:paraId="033CBA30" w14:textId="03C3DDF6" w:rsidR="004C5721" w:rsidRPr="004C5721" w:rsidRDefault="004C5721" w:rsidP="00EC5220">
      <w:pPr>
        <w:pStyle w:val="ad"/>
        <w:ind w:leftChars="0" w:left="760" w:firstLine="0"/>
        <w:rPr>
          <w:bCs/>
          <w:iCs/>
        </w:rPr>
      </w:pPr>
    </w:p>
    <w:p w14:paraId="7D21BEF2" w14:textId="12F9820F" w:rsidR="00406D4D" w:rsidRPr="009160A1" w:rsidRDefault="00406D4D" w:rsidP="00406D4D">
      <w:pPr>
        <w:pStyle w:val="ad"/>
        <w:numPr>
          <w:ilvl w:val="0"/>
          <w:numId w:val="1"/>
        </w:numPr>
        <w:ind w:leftChars="0"/>
        <w:rPr>
          <w:b/>
          <w:bCs/>
          <w:i/>
          <w:iCs/>
        </w:rPr>
      </w:pPr>
      <w:r>
        <w:rPr>
          <w:rFonts w:ascii="Arial" w:hAnsi="Arial" w:cs="Arial"/>
          <w:b/>
          <w:bCs/>
          <w:iCs/>
          <w:sz w:val="28"/>
          <w:szCs w:val="28"/>
        </w:rPr>
        <w:lastRenderedPageBreak/>
        <w:t xml:space="preserve">Power sharing for </w:t>
      </w:r>
      <w:r w:rsidR="00AA4D62">
        <w:rPr>
          <w:rFonts w:ascii="Arial" w:hAnsi="Arial" w:cs="Arial" w:hint="eastAsia"/>
          <w:b/>
          <w:bCs/>
          <w:iCs/>
          <w:sz w:val="28"/>
          <w:szCs w:val="28"/>
        </w:rPr>
        <w:t>NE</w:t>
      </w:r>
      <w:r w:rsidR="00004E69">
        <w:rPr>
          <w:rFonts w:ascii="Arial" w:hAnsi="Arial" w:cs="Arial"/>
          <w:b/>
          <w:bCs/>
          <w:iCs/>
          <w:sz w:val="28"/>
          <w:szCs w:val="28"/>
        </w:rPr>
        <w:t>-</w:t>
      </w:r>
      <w:r>
        <w:rPr>
          <w:rFonts w:ascii="Arial" w:hAnsi="Arial" w:cs="Arial"/>
          <w:b/>
          <w:bCs/>
          <w:iCs/>
          <w:sz w:val="28"/>
          <w:szCs w:val="28"/>
        </w:rPr>
        <w:t>DC</w:t>
      </w:r>
    </w:p>
    <w:p w14:paraId="12A7494C" w14:textId="434570EC" w:rsidR="00406D4D" w:rsidRDefault="00406D4D" w:rsidP="00406D4D">
      <w:pPr>
        <w:ind w:left="0" w:firstLine="0"/>
        <w:rPr>
          <w:bCs/>
          <w:iCs/>
        </w:rPr>
      </w:pPr>
      <w:r>
        <w:rPr>
          <w:rFonts w:hint="cs"/>
          <w:bCs/>
          <w:iCs/>
        </w:rPr>
        <w:t xml:space="preserve">For </w:t>
      </w:r>
      <w:r w:rsidR="00004E69">
        <w:rPr>
          <w:bCs/>
          <w:iCs/>
        </w:rPr>
        <w:t>EN-</w:t>
      </w:r>
      <w:r>
        <w:rPr>
          <w:rFonts w:hint="cs"/>
          <w:bCs/>
          <w:iCs/>
        </w:rPr>
        <w:t xml:space="preserve">DC, dynamic power sharing and semi-static power sharing are supported. </w:t>
      </w:r>
      <w:r>
        <w:rPr>
          <w:bCs/>
          <w:iCs/>
        </w:rPr>
        <w:t xml:space="preserve">In dynamic power sharing, when a UE reaches its maximum power, power scaling occurs at NR side instead of LTE side. It has two benefits. First, as LTE is PCell, it minimize the impact on the coverage of PCell. Secondly, the approach is more feasible from UE processing perspective where LTE processing time (e.g., 4msec) is generally larger than NR processing time. Thus, from NR perspective, power scaling in consideration of LTE scheduling is feasible. For the case of NR-LTE DC where NR is PCell, it is still important to keep PCell coverage intact. Thus, it can be considered to reduce UE power on LTE side instead of NR side. Yet, this can lead very tight processing time at LTE side as NR processing time is shorter. </w:t>
      </w:r>
      <w:r>
        <w:rPr>
          <w:bCs/>
          <w:iCs/>
        </w:rPr>
        <w:fldChar w:fldCharType="begin"/>
      </w:r>
      <w:r>
        <w:rPr>
          <w:bCs/>
          <w:iCs/>
        </w:rPr>
        <w:instrText xml:space="preserve"> REF _Ref510715381 \h </w:instrText>
      </w:r>
      <w:r>
        <w:rPr>
          <w:bCs/>
          <w:iCs/>
        </w:rPr>
      </w:r>
      <w:r>
        <w:rPr>
          <w:bCs/>
          <w:iCs/>
        </w:rPr>
        <w:fldChar w:fldCharType="separate"/>
      </w:r>
      <w:r w:rsidRPr="00F53523">
        <w:t xml:space="preserve">Figure </w:t>
      </w:r>
      <w:r w:rsidRPr="00F53523">
        <w:rPr>
          <w:noProof/>
        </w:rPr>
        <w:t>1</w:t>
      </w:r>
      <w:r>
        <w:rPr>
          <w:bCs/>
          <w:iCs/>
        </w:rPr>
        <w:fldChar w:fldCharType="end"/>
      </w:r>
      <w:r>
        <w:rPr>
          <w:bCs/>
          <w:iCs/>
        </w:rPr>
        <w:t xml:space="preserve">. illustrates the issue. </w:t>
      </w:r>
    </w:p>
    <w:p w14:paraId="36B393FE" w14:textId="77777777" w:rsidR="00406D4D" w:rsidRDefault="00406D4D" w:rsidP="00406D4D">
      <w:pPr>
        <w:pStyle w:val="af"/>
        <w:jc w:val="center"/>
      </w:pPr>
      <w:bookmarkStart w:id="4" w:name="_Ref510715381"/>
      <w:r w:rsidRPr="00845646">
        <w:rPr>
          <w:noProof/>
          <w:lang w:val="en-US" w:eastAsia="ko-KR"/>
        </w:rPr>
        <w:drawing>
          <wp:inline distT="0" distB="0" distL="0" distR="0" wp14:anchorId="26DDA533" wp14:editId="20175645">
            <wp:extent cx="6120130" cy="222239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2222397"/>
                    </a:xfrm>
                    <a:prstGeom prst="rect">
                      <a:avLst/>
                    </a:prstGeom>
                    <a:noFill/>
                    <a:ln>
                      <a:noFill/>
                    </a:ln>
                  </pic:spPr>
                </pic:pic>
              </a:graphicData>
            </a:graphic>
          </wp:inline>
        </w:drawing>
      </w:r>
    </w:p>
    <w:p w14:paraId="224157A2" w14:textId="4750D7BB" w:rsidR="00406D4D" w:rsidRPr="00F53523" w:rsidRDefault="00406D4D" w:rsidP="00406D4D">
      <w:pPr>
        <w:pStyle w:val="af"/>
        <w:jc w:val="center"/>
        <w:rPr>
          <w:bCs/>
          <w:iCs/>
          <w:sz w:val="20"/>
        </w:rPr>
      </w:pPr>
      <w:r w:rsidRPr="00F53523">
        <w:rPr>
          <w:sz w:val="20"/>
        </w:rPr>
        <w:t xml:space="preserve">Figure </w:t>
      </w:r>
      <w:r w:rsidRPr="00F53523">
        <w:rPr>
          <w:sz w:val="20"/>
        </w:rPr>
        <w:fldChar w:fldCharType="begin"/>
      </w:r>
      <w:r w:rsidRPr="00F53523">
        <w:rPr>
          <w:sz w:val="20"/>
        </w:rPr>
        <w:instrText xml:space="preserve"> SEQ Figure \* ARABIC </w:instrText>
      </w:r>
      <w:r w:rsidRPr="00F53523">
        <w:rPr>
          <w:sz w:val="20"/>
        </w:rPr>
        <w:fldChar w:fldCharType="separate"/>
      </w:r>
      <w:r w:rsidRPr="00F53523">
        <w:rPr>
          <w:noProof/>
          <w:sz w:val="20"/>
        </w:rPr>
        <w:t>1</w:t>
      </w:r>
      <w:r w:rsidRPr="00F53523">
        <w:rPr>
          <w:sz w:val="20"/>
        </w:rPr>
        <w:fldChar w:fldCharType="end"/>
      </w:r>
      <w:bookmarkEnd w:id="4"/>
      <w:r w:rsidRPr="00F53523">
        <w:rPr>
          <w:sz w:val="20"/>
        </w:rPr>
        <w:t xml:space="preserve">. Illustration of SCG power scaling in </w:t>
      </w:r>
      <w:r w:rsidR="00004E69">
        <w:rPr>
          <w:sz w:val="20"/>
        </w:rPr>
        <w:t>NE-</w:t>
      </w:r>
      <w:r w:rsidRPr="00F53523">
        <w:rPr>
          <w:sz w:val="20"/>
        </w:rPr>
        <w:t>DC</w:t>
      </w:r>
    </w:p>
    <w:p w14:paraId="3FCBABF5" w14:textId="77777777" w:rsidR="00406D4D" w:rsidRDefault="00406D4D" w:rsidP="00406D4D">
      <w:pPr>
        <w:ind w:left="0" w:firstLine="0"/>
        <w:rPr>
          <w:bCs/>
          <w:iCs/>
        </w:rPr>
      </w:pPr>
      <w:r>
        <w:rPr>
          <w:bCs/>
          <w:iCs/>
        </w:rPr>
        <w:t>Not to impact on UE processing time on LTE side, we can consider the following options in case of dynamic power sharing between NR and LTE.</w:t>
      </w:r>
    </w:p>
    <w:p w14:paraId="0390A223" w14:textId="77777777" w:rsidR="00406D4D" w:rsidRPr="00804230" w:rsidRDefault="00406D4D" w:rsidP="00406D4D">
      <w:pPr>
        <w:pStyle w:val="ad"/>
        <w:numPr>
          <w:ilvl w:val="0"/>
          <w:numId w:val="34"/>
        </w:numPr>
        <w:ind w:leftChars="0"/>
        <w:rPr>
          <w:rFonts w:ascii="Times New Roman" w:hAnsi="Times New Roman" w:cs="Times New Roman"/>
          <w:bCs/>
          <w:iCs/>
        </w:rPr>
      </w:pPr>
      <w:r w:rsidRPr="00804230">
        <w:rPr>
          <w:rFonts w:ascii="Times New Roman" w:hAnsi="Times New Roman" w:cs="Times New Roman"/>
          <w:bCs/>
          <w:iCs/>
        </w:rPr>
        <w:t xml:space="preserve">Same as LTE-NR DC, power scaling occurs at NR side only without affecting LTE side. </w:t>
      </w:r>
      <w:r>
        <w:rPr>
          <w:rFonts w:ascii="Times New Roman" w:hAnsi="Times New Roman" w:cs="Times New Roman"/>
          <w:bCs/>
          <w:iCs/>
        </w:rPr>
        <w:t>The main drawback of this approach is that the coverage of PCell may not be guaranteed.</w:t>
      </w:r>
    </w:p>
    <w:p w14:paraId="5EA8BACE" w14:textId="6655F2ED" w:rsidR="00406D4D" w:rsidRDefault="00406D4D" w:rsidP="00406D4D">
      <w:pPr>
        <w:pStyle w:val="ad"/>
        <w:numPr>
          <w:ilvl w:val="0"/>
          <w:numId w:val="34"/>
        </w:numPr>
        <w:ind w:leftChars="0"/>
        <w:rPr>
          <w:rFonts w:ascii="Times New Roman" w:hAnsi="Times New Roman" w:cs="Times New Roman"/>
          <w:bCs/>
          <w:iCs/>
        </w:rPr>
      </w:pPr>
      <w:r>
        <w:rPr>
          <w:rFonts w:ascii="Times New Roman" w:hAnsi="Times New Roman" w:cs="Times New Roman"/>
          <w:bCs/>
          <w:iCs/>
        </w:rPr>
        <w:t xml:space="preserve">Power scaling occurs at LTE side assuming NR would not schedule any PUSCH/PUCCH with shorter processing than LTE. In other words, the network ensures scheduling NR side PUSCH/PUCCH in advance (e.g., more than or equal to 4msec before) such that a UE can scale power at LTE side without tighter processing time. </w:t>
      </w:r>
      <w:r w:rsidR="00566547">
        <w:rPr>
          <w:rFonts w:ascii="Times New Roman" w:hAnsi="Times New Roman" w:cs="Times New Roman"/>
          <w:bCs/>
          <w:iCs/>
        </w:rPr>
        <w:t xml:space="preserve">It is however noted that some LTE UEs (e.g., with sTTI capability) may support faster processing time in such case power scaling at LTE side seems also feasible. </w:t>
      </w:r>
    </w:p>
    <w:p w14:paraId="0A13637B" w14:textId="77777777" w:rsidR="00406D4D" w:rsidRDefault="00406D4D" w:rsidP="00406D4D">
      <w:pPr>
        <w:pStyle w:val="ad"/>
        <w:numPr>
          <w:ilvl w:val="0"/>
          <w:numId w:val="34"/>
        </w:numPr>
        <w:ind w:leftChars="0"/>
        <w:rPr>
          <w:rFonts w:ascii="Times New Roman" w:hAnsi="Times New Roman" w:cs="Times New Roman"/>
          <w:bCs/>
          <w:iCs/>
        </w:rPr>
      </w:pPr>
      <w:r>
        <w:rPr>
          <w:rFonts w:ascii="Times New Roman" w:hAnsi="Times New Roman" w:cs="Times New Roman"/>
          <w:bCs/>
          <w:iCs/>
        </w:rPr>
        <w:t xml:space="preserve">Power scaling occurs at ‘later’ scheduled uplink transmission regardless of NR or LTE. In other words, ‘earlier’ scheduled transmission has higher priority. For example, in </w:t>
      </w:r>
      <w:r w:rsidRPr="000D31F9">
        <w:rPr>
          <w:rFonts w:ascii="Times New Roman" w:hAnsi="Times New Roman" w:cs="Times New Roman"/>
          <w:bCs/>
          <w:iCs/>
        </w:rPr>
        <w:t>Figure 1</w:t>
      </w:r>
      <w:r>
        <w:rPr>
          <w:rFonts w:ascii="Times New Roman" w:hAnsi="Times New Roman" w:cs="Times New Roman"/>
          <w:bCs/>
          <w:iCs/>
        </w:rPr>
        <w:t xml:space="preserve">, as LTE schedules the colliding UL before, LTE transmission is protected. This is to ensure a UE is not required to support tighter processing time budget for dynamic power sharing. </w:t>
      </w:r>
    </w:p>
    <w:p w14:paraId="2EF651FC" w14:textId="09F543C7" w:rsidR="004B3AFD" w:rsidRDefault="004B3AFD" w:rsidP="00406D4D">
      <w:pPr>
        <w:pStyle w:val="ad"/>
        <w:numPr>
          <w:ilvl w:val="0"/>
          <w:numId w:val="34"/>
        </w:numPr>
        <w:ind w:leftChars="0"/>
        <w:rPr>
          <w:rFonts w:ascii="Times New Roman" w:hAnsi="Times New Roman" w:cs="Times New Roman"/>
          <w:bCs/>
          <w:iCs/>
        </w:rPr>
      </w:pPr>
      <w:r>
        <w:rPr>
          <w:rFonts w:ascii="Times New Roman" w:hAnsi="Times New Roman" w:cs="Times New Roman"/>
          <w:bCs/>
          <w:iCs/>
        </w:rPr>
        <w:t xml:space="preserve">NR power is guaranteed with X which can be signaled to UEs. LTE power is limited with Pcmax – X, and if LTE and NR is not scheduled for simultaneous transmission, NR power can be used up to Pcmax. </w:t>
      </w:r>
      <w:r w:rsidR="00A00025">
        <w:rPr>
          <w:rFonts w:ascii="Times New Roman" w:hAnsi="Times New Roman" w:cs="Times New Roman"/>
          <w:bCs/>
          <w:iCs/>
        </w:rPr>
        <w:t xml:space="preserve">The unused power by LTE from available power to LTE can be applied to NR scheduling. In other words, depending on LTE power, NR can use more than X. </w:t>
      </w:r>
      <w:r>
        <w:rPr>
          <w:rFonts w:ascii="Times New Roman" w:hAnsi="Times New Roman" w:cs="Times New Roman"/>
          <w:bCs/>
          <w:iCs/>
        </w:rPr>
        <w:t xml:space="preserve">This approach can guarantee </w:t>
      </w:r>
      <w:r w:rsidR="00A00025">
        <w:rPr>
          <w:rFonts w:ascii="Times New Roman" w:hAnsi="Times New Roman" w:cs="Times New Roman"/>
          <w:bCs/>
          <w:iCs/>
        </w:rPr>
        <w:t xml:space="preserve">minimum coverage of NR PCell by </w:t>
      </w:r>
      <w:r w:rsidR="00A00025">
        <w:rPr>
          <w:rFonts w:ascii="Times New Roman" w:hAnsi="Times New Roman" w:cs="Times New Roman"/>
          <w:bCs/>
          <w:iCs/>
        </w:rPr>
        <w:lastRenderedPageBreak/>
        <w:t xml:space="preserve">configuring appropriate X. At the same time, as LTE does not reduce the power based on NR scheduling, processing time requirements can be relaxed. </w:t>
      </w:r>
      <w:r>
        <w:rPr>
          <w:rFonts w:ascii="Times New Roman" w:hAnsi="Times New Roman" w:cs="Times New Roman"/>
          <w:bCs/>
          <w:iCs/>
        </w:rPr>
        <w:t xml:space="preserve"> </w:t>
      </w:r>
    </w:p>
    <w:p w14:paraId="24DC15B7" w14:textId="1035251A" w:rsidR="00406D4D" w:rsidRPr="004B3AFD" w:rsidRDefault="00406D4D" w:rsidP="00406D4D">
      <w:pPr>
        <w:ind w:left="0" w:firstLine="0"/>
        <w:rPr>
          <w:rFonts w:eastAsiaTheme="minorEastAsia"/>
          <w:b/>
          <w:i/>
          <w:lang w:eastAsia="ko-KR"/>
        </w:rPr>
      </w:pPr>
      <w:r>
        <w:rPr>
          <w:rFonts w:eastAsiaTheme="minorEastAsia"/>
          <w:b/>
          <w:i/>
          <w:lang w:eastAsia="ko-KR"/>
        </w:rPr>
        <w:t xml:space="preserve">Proposal 2: </w:t>
      </w:r>
      <w:r w:rsidR="00566547">
        <w:rPr>
          <w:rFonts w:eastAsiaTheme="minorEastAsia"/>
          <w:b/>
          <w:i/>
          <w:lang w:eastAsia="ko-KR"/>
        </w:rPr>
        <w:t xml:space="preserve">Aim to minimize the impact of </w:t>
      </w:r>
      <w:r w:rsidR="00566547">
        <w:rPr>
          <w:rFonts w:eastAsiaTheme="minorEastAsia"/>
          <w:b/>
          <w:bCs/>
          <w:i/>
          <w:iCs/>
          <w:lang w:eastAsia="ko-KR"/>
        </w:rPr>
        <w:t>c</w:t>
      </w:r>
      <w:r w:rsidR="00566547">
        <w:rPr>
          <w:rFonts w:eastAsiaTheme="minorEastAsia"/>
          <w:b/>
          <w:i/>
          <w:lang w:eastAsia="ko-KR"/>
        </w:rPr>
        <w:t>overage of PCell even for NR PCell case</w:t>
      </w:r>
      <w:r w:rsidR="004B3AFD" w:rsidRPr="004B3AFD">
        <w:rPr>
          <w:rFonts w:eastAsiaTheme="minorEastAsia"/>
          <w:b/>
          <w:bCs/>
          <w:i/>
          <w:iCs/>
          <w:lang w:eastAsia="ko-KR"/>
        </w:rPr>
        <w:t>.</w:t>
      </w:r>
      <w:r w:rsidR="00566547">
        <w:rPr>
          <w:rFonts w:eastAsiaTheme="minorEastAsia"/>
          <w:b/>
          <w:bCs/>
          <w:i/>
          <w:iCs/>
          <w:lang w:eastAsia="ko-KR"/>
        </w:rPr>
        <w:t xml:space="preserve"> If LTE processing cannot be tightened, guaranteed power to each CG (particularly, guaranteed power allocation on NR) can be considered. </w:t>
      </w:r>
    </w:p>
    <w:p w14:paraId="2A39D184" w14:textId="77777777" w:rsidR="00406D4D" w:rsidRDefault="00406D4D" w:rsidP="00406D4D">
      <w:pPr>
        <w:pStyle w:val="1"/>
        <w:numPr>
          <w:ilvl w:val="0"/>
          <w:numId w:val="1"/>
        </w:numPr>
        <w:rPr>
          <w:rFonts w:eastAsia="바탕"/>
          <w:b/>
          <w:lang w:eastAsia="ko-KR"/>
        </w:rPr>
      </w:pPr>
      <w:r>
        <w:rPr>
          <w:rFonts w:eastAsia="바탕"/>
          <w:b/>
          <w:lang w:eastAsia="ko-KR"/>
        </w:rPr>
        <w:t>Conclusion</w:t>
      </w:r>
    </w:p>
    <w:p w14:paraId="0BF9B6F6" w14:textId="77777777" w:rsidR="00004E69" w:rsidRDefault="00004E69" w:rsidP="00004E69">
      <w:pPr>
        <w:ind w:left="0" w:firstLine="0"/>
        <w:rPr>
          <w:b/>
          <w:bCs/>
          <w:i/>
          <w:iCs/>
        </w:rPr>
      </w:pPr>
      <w:r>
        <w:rPr>
          <w:rFonts w:eastAsiaTheme="minorEastAsia"/>
          <w:b/>
          <w:i/>
          <w:lang w:eastAsia="ko-KR"/>
        </w:rPr>
        <w:t>Proposal 1</w:t>
      </w:r>
      <w:r w:rsidRPr="00F1061E">
        <w:rPr>
          <w:rFonts w:eastAsiaTheme="minorEastAsia"/>
          <w:b/>
          <w:i/>
          <w:lang w:eastAsia="ko-KR"/>
        </w:rPr>
        <w:t xml:space="preserve">: </w:t>
      </w:r>
      <w:r>
        <w:rPr>
          <w:b/>
          <w:bCs/>
          <w:i/>
          <w:iCs/>
          <w:lang w:eastAsia="ko-KR"/>
        </w:rPr>
        <w:t>Adopt the following for A-MPR handling in intra-band DC.</w:t>
      </w:r>
    </w:p>
    <w:p w14:paraId="414312D5" w14:textId="0E67DD28" w:rsidR="00004E69" w:rsidRDefault="00004E69" w:rsidP="004B3AFD">
      <w:pPr>
        <w:ind w:left="0" w:firstLine="0"/>
        <w:rPr>
          <w:rFonts w:eastAsiaTheme="minorEastAsia"/>
          <w:b/>
          <w:i/>
          <w:lang w:eastAsia="ko-KR"/>
        </w:rPr>
      </w:pPr>
      <w:r w:rsidRPr="00EC5220">
        <w:rPr>
          <w:b/>
          <w:bCs/>
          <w:i/>
          <w:iCs/>
        </w:rPr>
        <w:t>When NR grant is earlier than LTE grant for uplink scheduling for a give</w:t>
      </w:r>
      <w:r>
        <w:rPr>
          <w:b/>
          <w:bCs/>
          <w:i/>
          <w:iCs/>
        </w:rPr>
        <w:t xml:space="preserve">n slot, LTE takes NR scheduling </w:t>
      </w:r>
      <w:r w:rsidRPr="00EC5220">
        <w:rPr>
          <w:b/>
          <w:bCs/>
          <w:i/>
          <w:iCs/>
        </w:rPr>
        <w:t>into account for A-MPR computation. If NR grant is not available upon LTE grant timing, LTE computes A-MPR without considering NR scheduling. Later, if NR later needs to perform considerable power scaling, a UE may drop NR – the same rule of inter-band DC power scaling/dropping can be followed in this case.</w:t>
      </w:r>
    </w:p>
    <w:p w14:paraId="0D2FA623" w14:textId="63EE32DA" w:rsidR="00357D13" w:rsidRPr="00DE72E2" w:rsidRDefault="00004E69" w:rsidP="00406D4D">
      <w:pPr>
        <w:ind w:left="0" w:firstLine="0"/>
        <w:rPr>
          <w:rFonts w:eastAsiaTheme="minorEastAsia"/>
          <w:lang w:eastAsia="ko-KR"/>
        </w:rPr>
      </w:pPr>
      <w:r>
        <w:rPr>
          <w:rFonts w:eastAsiaTheme="minorEastAsia"/>
          <w:b/>
          <w:i/>
          <w:lang w:eastAsia="ko-KR"/>
        </w:rPr>
        <w:t xml:space="preserve">Proposal 2: Aim to minimize the impact of </w:t>
      </w:r>
      <w:r>
        <w:rPr>
          <w:rFonts w:eastAsiaTheme="minorEastAsia"/>
          <w:b/>
          <w:bCs/>
          <w:i/>
          <w:iCs/>
          <w:lang w:eastAsia="ko-KR"/>
        </w:rPr>
        <w:t>c</w:t>
      </w:r>
      <w:r>
        <w:rPr>
          <w:rFonts w:eastAsiaTheme="minorEastAsia"/>
          <w:b/>
          <w:i/>
          <w:lang w:eastAsia="ko-KR"/>
        </w:rPr>
        <w:t>overage of PCell even for NR PCell case</w:t>
      </w:r>
      <w:r w:rsidRPr="004B3AFD">
        <w:rPr>
          <w:rFonts w:eastAsiaTheme="minorEastAsia"/>
          <w:b/>
          <w:bCs/>
          <w:i/>
          <w:iCs/>
          <w:lang w:eastAsia="ko-KR"/>
        </w:rPr>
        <w:t>.</w:t>
      </w:r>
      <w:r>
        <w:rPr>
          <w:rFonts w:eastAsiaTheme="minorEastAsia"/>
          <w:b/>
          <w:bCs/>
          <w:i/>
          <w:iCs/>
          <w:lang w:eastAsia="ko-KR"/>
        </w:rPr>
        <w:t xml:space="preserve"> If LTE processing cannot be tightened, guaranteed power to each CG (particularly, guaranteed power allocation on NR) can be considered.</w:t>
      </w:r>
    </w:p>
    <w:sectPr w:rsidR="00357D13" w:rsidRPr="00DE72E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DFD35" w14:textId="77777777" w:rsidR="0074683C" w:rsidRDefault="0074683C" w:rsidP="00CB15B0">
      <w:pPr>
        <w:spacing w:before="0" w:after="0" w:line="240" w:lineRule="auto"/>
      </w:pPr>
      <w:r>
        <w:separator/>
      </w:r>
    </w:p>
  </w:endnote>
  <w:endnote w:type="continuationSeparator" w:id="0">
    <w:p w14:paraId="22F09017" w14:textId="77777777" w:rsidR="0074683C" w:rsidRDefault="0074683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3F12A" w14:textId="77777777" w:rsidR="0074683C" w:rsidRDefault="0074683C" w:rsidP="00CB15B0">
      <w:pPr>
        <w:spacing w:before="0" w:after="0" w:line="240" w:lineRule="auto"/>
      </w:pPr>
      <w:r>
        <w:separator/>
      </w:r>
    </w:p>
  </w:footnote>
  <w:footnote w:type="continuationSeparator" w:id="0">
    <w:p w14:paraId="38306424" w14:textId="77777777" w:rsidR="0074683C" w:rsidRDefault="0074683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E0001"/>
    <w:multiLevelType w:val="hybridMultilevel"/>
    <w:tmpl w:val="9148116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B12D37"/>
    <w:multiLevelType w:val="hybridMultilevel"/>
    <w:tmpl w:val="F52AD20A"/>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C6355D"/>
    <w:multiLevelType w:val="multilevel"/>
    <w:tmpl w:val="D5CC8B4A"/>
    <w:lvl w:ilvl="0">
      <w:start w:val="1"/>
      <w:numFmt w:val="bullet"/>
      <w:lvlText w:val=""/>
      <w:lvlJc w:val="left"/>
      <w:pPr>
        <w:tabs>
          <w:tab w:val="num" w:pos="850"/>
        </w:tabs>
        <w:ind w:left="850" w:hanging="425"/>
      </w:pPr>
      <w:rPr>
        <w:rFonts w:ascii="Wingdings" w:hAnsi="Wingdings" w:hint="default"/>
      </w:rPr>
    </w:lvl>
    <w:lvl w:ilvl="1">
      <w:start w:val="1"/>
      <w:numFmt w:val="decimal"/>
      <w:lvlText w:val="%1.%2."/>
      <w:lvlJc w:val="left"/>
      <w:pPr>
        <w:tabs>
          <w:tab w:val="num" w:pos="992"/>
        </w:tabs>
        <w:ind w:left="992" w:hanging="567"/>
      </w:p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4" w15:restartNumberingAfterBreak="0">
    <w:nsid w:val="096923BE"/>
    <w:multiLevelType w:val="hybridMultilevel"/>
    <w:tmpl w:val="84CCE484"/>
    <w:lvl w:ilvl="0" w:tplc="9708BBE2">
      <w:start w:val="2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F3003B"/>
    <w:multiLevelType w:val="hybridMultilevel"/>
    <w:tmpl w:val="DB1A1522"/>
    <w:lvl w:ilvl="0" w:tplc="70BEAD2C">
      <w:start w:val="1"/>
      <w:numFmt w:val="bullet"/>
      <w:lvlText w:val="•"/>
      <w:lvlJc w:val="left"/>
      <w:pPr>
        <w:ind w:left="800" w:hanging="400"/>
      </w:pPr>
      <w:rPr>
        <w:rFonts w:ascii="Arial" w:hAnsi="Arial" w:cs="Times New Roman" w:hint="default"/>
      </w:rPr>
    </w:lvl>
    <w:lvl w:ilvl="1" w:tplc="04090009">
      <w:start w:val="1"/>
      <w:numFmt w:val="bullet"/>
      <w:lvlText w:val=""/>
      <w:lvlJc w:val="left"/>
      <w:pPr>
        <w:ind w:left="1200" w:hanging="400"/>
      </w:pPr>
      <w:rPr>
        <w:rFonts w:ascii="Wingdings" w:hAnsi="Wingdings" w:hint="default"/>
      </w:rPr>
    </w:lvl>
    <w:lvl w:ilvl="2" w:tplc="C8144AD8">
      <w:numFmt w:val="bullet"/>
      <w:lvlText w:val="-"/>
      <w:lvlJc w:val="left"/>
      <w:pPr>
        <w:ind w:left="1600" w:hanging="400"/>
      </w:pPr>
      <w:rPr>
        <w:rFonts w:ascii="Times New Roman" w:eastAsia="SimSu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09C5D6E"/>
    <w:multiLevelType w:val="hybridMultilevel"/>
    <w:tmpl w:val="0F3CE7F2"/>
    <w:lvl w:ilvl="0" w:tplc="0409000B">
      <w:start w:val="1"/>
      <w:numFmt w:val="bullet"/>
      <w:lvlText w:val=""/>
      <w:lvlJc w:val="left"/>
      <w:pPr>
        <w:ind w:left="720" w:hanging="360"/>
      </w:pPr>
      <w:rPr>
        <w:rFonts w:ascii="Wingdings" w:hAnsi="Wingdings" w:hint="default"/>
      </w:rPr>
    </w:lvl>
    <w:lvl w:ilvl="1" w:tplc="838E8846">
      <w:numFmt w:val="bullet"/>
      <w:lvlText w:val="·"/>
      <w:lvlJc w:val="left"/>
      <w:pPr>
        <w:ind w:left="1330" w:hanging="570"/>
      </w:pPr>
      <w:rPr>
        <w:rFonts w:ascii="Times New Roman" w:eastAsia="굴림" w:hAnsi="Times New Roman" w:cs="Times New Roman" w:hint="default"/>
      </w:rPr>
    </w:lvl>
    <w:lvl w:ilvl="2" w:tplc="6428C96C">
      <w:numFmt w:val="bullet"/>
      <w:lvlText w:val="–"/>
      <w:lvlJc w:val="left"/>
      <w:pPr>
        <w:ind w:left="1610" w:hanging="450"/>
      </w:pPr>
      <w:rPr>
        <w:rFonts w:ascii="Times New Roman" w:eastAsia="굴림" w:hAnsi="Times New Roman" w:cs="Times New Roman" w:hint="default"/>
      </w:rPr>
    </w:lvl>
    <w:lvl w:ilvl="3" w:tplc="CAACC362">
      <w:numFmt w:val="bullet"/>
      <w:lvlText w:val=""/>
      <w:lvlJc w:val="left"/>
      <w:pPr>
        <w:ind w:left="1920" w:hanging="360"/>
      </w:pPr>
      <w:rPr>
        <w:rFonts w:ascii="Wingdings" w:eastAsia="굴림" w:hAnsi="Wingdings" w:cs="Times New Roman"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7"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106FED"/>
    <w:multiLevelType w:val="hybridMultilevel"/>
    <w:tmpl w:val="7194BC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3B3830"/>
    <w:multiLevelType w:val="hybridMultilevel"/>
    <w:tmpl w:val="0BD66702"/>
    <w:lvl w:ilvl="0" w:tplc="4DB0F182">
      <w:start w:val="1"/>
      <w:numFmt w:val="upperLetter"/>
      <w:lvlText w:val="%1."/>
      <w:lvlJc w:val="left"/>
      <w:pPr>
        <w:ind w:left="760" w:hanging="360"/>
      </w:pPr>
      <w:rPr>
        <w:rFonts w:hint="default"/>
        <w:color w:val="FF000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CB04D75"/>
    <w:multiLevelType w:val="hybridMultilevel"/>
    <w:tmpl w:val="F0A8268C"/>
    <w:lvl w:ilvl="0" w:tplc="2FC402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ED5008D"/>
    <w:multiLevelType w:val="hybridMultilevel"/>
    <w:tmpl w:val="B57E30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FA81E7C"/>
    <w:multiLevelType w:val="hybridMultilevel"/>
    <w:tmpl w:val="8CB21762"/>
    <w:lvl w:ilvl="0" w:tplc="A14454FA">
      <w:start w:val="5"/>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6565EA5"/>
    <w:multiLevelType w:val="hybridMultilevel"/>
    <w:tmpl w:val="715C61CA"/>
    <w:lvl w:ilvl="0" w:tplc="0409000B">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5" w15:restartNumberingAfterBreak="0">
    <w:nsid w:val="27DF4611"/>
    <w:multiLevelType w:val="hybridMultilevel"/>
    <w:tmpl w:val="C60EAC2A"/>
    <w:lvl w:ilvl="0" w:tplc="44D4E802">
      <w:start w:val="1"/>
      <w:numFmt w:val="decimal"/>
      <w:lvlText w:val="%1."/>
      <w:lvlJc w:val="left"/>
      <w:pPr>
        <w:ind w:left="400" w:hanging="400"/>
      </w:pPr>
      <w:rPr>
        <w:rFonts w:ascii="Arial" w:hAnsi="Arial" w:cs="Arial" w:hint="default"/>
        <w:i w:val="0"/>
        <w:sz w:val="28"/>
        <w:szCs w:val="28"/>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318E4F58"/>
    <w:multiLevelType w:val="hybridMultilevel"/>
    <w:tmpl w:val="AFCEE57C"/>
    <w:lvl w:ilvl="0" w:tplc="1868CF70">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7" w15:restartNumberingAfterBreak="0">
    <w:nsid w:val="36E2336B"/>
    <w:multiLevelType w:val="hybridMultilevel"/>
    <w:tmpl w:val="5FF46FFA"/>
    <w:lvl w:ilvl="0" w:tplc="CFA2FDC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7005DE"/>
    <w:multiLevelType w:val="hybridMultilevel"/>
    <w:tmpl w:val="6AB640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3F247688"/>
    <w:multiLevelType w:val="hybridMultilevel"/>
    <w:tmpl w:val="99365256"/>
    <w:lvl w:ilvl="0" w:tplc="25BAB870">
      <w:start w:val="1"/>
      <w:numFmt w:val="decimal"/>
      <w:lvlText w:val="(%1)"/>
      <w:lvlJc w:val="left"/>
      <w:pPr>
        <w:ind w:left="760" w:hanging="360"/>
      </w:pPr>
      <w:rPr>
        <w:rFonts w:hint="default"/>
      </w:rPr>
    </w:lvl>
    <w:lvl w:ilvl="1" w:tplc="2E56EC8C">
      <w:start w:val="1"/>
      <w:numFmt w:val="upperLetter"/>
      <w:lvlText w:val="%2-"/>
      <w:lvlJc w:val="left"/>
      <w:pPr>
        <w:ind w:left="1160" w:hanging="36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022185A"/>
    <w:multiLevelType w:val="hybridMultilevel"/>
    <w:tmpl w:val="D05E5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5FA5D50"/>
    <w:multiLevelType w:val="hybridMultilevel"/>
    <w:tmpl w:val="CCD6A8F0"/>
    <w:lvl w:ilvl="0" w:tplc="0409000B">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471CF6"/>
    <w:multiLevelType w:val="hybridMultilevel"/>
    <w:tmpl w:val="A2702AC2"/>
    <w:lvl w:ilvl="0" w:tplc="0409000B">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5" w15:restartNumberingAfterBreak="0">
    <w:nsid w:val="4CD960AE"/>
    <w:multiLevelType w:val="hybridMultilevel"/>
    <w:tmpl w:val="DBBECB40"/>
    <w:lvl w:ilvl="0" w:tplc="EEC46D7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D5039A3"/>
    <w:multiLevelType w:val="hybridMultilevel"/>
    <w:tmpl w:val="2286B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24FB5"/>
    <w:multiLevelType w:val="hybridMultilevel"/>
    <w:tmpl w:val="504CC44E"/>
    <w:lvl w:ilvl="0" w:tplc="8BEC3F54">
      <w:start w:val="1"/>
      <w:numFmt w:val="bullet"/>
      <w:lvlText w:val="-"/>
      <w:lvlJc w:val="left"/>
      <w:pPr>
        <w:ind w:left="760" w:hanging="360"/>
      </w:pPr>
      <w:rPr>
        <w:rFonts w:ascii="Times New Roman" w:eastAsia="맑은 고딕" w:hAnsi="Times New Roman" w:cs="Times New Roman" w:hint="default"/>
      </w:rPr>
    </w:lvl>
    <w:lvl w:ilvl="1" w:tplc="056E979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2844D8C"/>
    <w:multiLevelType w:val="hybridMultilevel"/>
    <w:tmpl w:val="ABBA9AA8"/>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FF28BB"/>
    <w:multiLevelType w:val="hybridMultilevel"/>
    <w:tmpl w:val="29B429C8"/>
    <w:lvl w:ilvl="0" w:tplc="3404D004">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265424"/>
    <w:multiLevelType w:val="hybridMultilevel"/>
    <w:tmpl w:val="7FF08708"/>
    <w:lvl w:ilvl="0" w:tplc="DF647A52">
      <w:start w:val="1"/>
      <w:numFmt w:val="decimal"/>
      <w:lvlText w:val="%1."/>
      <w:lvlJc w:val="left"/>
      <w:pPr>
        <w:ind w:left="76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9C10F75"/>
    <w:multiLevelType w:val="hybridMultilevel"/>
    <w:tmpl w:val="C13E0D3C"/>
    <w:lvl w:ilvl="0" w:tplc="51CEA40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B464558"/>
    <w:multiLevelType w:val="hybridMultilevel"/>
    <w:tmpl w:val="AA284BDA"/>
    <w:lvl w:ilvl="0" w:tplc="601A373E">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E203BC3"/>
    <w:multiLevelType w:val="hybridMultilevel"/>
    <w:tmpl w:val="D1FE93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F1912B1"/>
    <w:multiLevelType w:val="hybridMultilevel"/>
    <w:tmpl w:val="908E4286"/>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FE0329"/>
    <w:multiLevelType w:val="hybridMultilevel"/>
    <w:tmpl w:val="2034E5A0"/>
    <w:lvl w:ilvl="0" w:tplc="0E1217A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64E03B1B"/>
    <w:multiLevelType w:val="hybridMultilevel"/>
    <w:tmpl w:val="C038C276"/>
    <w:lvl w:ilvl="0" w:tplc="63E81A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6A6443C2"/>
    <w:multiLevelType w:val="hybridMultilevel"/>
    <w:tmpl w:val="125826F0"/>
    <w:lvl w:ilvl="0" w:tplc="9CE0BCB6">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15:restartNumberingAfterBreak="0">
    <w:nsid w:val="6BFE4875"/>
    <w:multiLevelType w:val="hybridMultilevel"/>
    <w:tmpl w:val="72048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835D54"/>
    <w:multiLevelType w:val="hybridMultilevel"/>
    <w:tmpl w:val="C5F6F29E"/>
    <w:lvl w:ilvl="0" w:tplc="82D8328E">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1" w15:restartNumberingAfterBreak="0">
    <w:nsid w:val="703157D4"/>
    <w:multiLevelType w:val="multilevel"/>
    <w:tmpl w:val="F428407E"/>
    <w:lvl w:ilvl="0">
      <w:start w:val="1"/>
      <w:numFmt w:val="decimal"/>
      <w:lvlText w:val="%1."/>
      <w:lvlJc w:val="left"/>
      <w:pPr>
        <w:tabs>
          <w:tab w:val="num" w:pos="425"/>
        </w:tabs>
        <w:ind w:left="425" w:hanging="425"/>
      </w:pPr>
      <w:rPr>
        <w:rFonts w:ascii="Arial" w:hAnsi="Arial" w:cs="Arial" w:hint="default"/>
        <w:i w:val="0"/>
        <w:strike w:val="0"/>
        <w:sz w:val="28"/>
        <w:szCs w:val="28"/>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48D1291"/>
    <w:multiLevelType w:val="hybridMultilevel"/>
    <w:tmpl w:val="D2D4A40E"/>
    <w:lvl w:ilvl="0" w:tplc="C88E9B7A">
      <w:start w:val="1"/>
      <w:numFmt w:val="bullet"/>
      <w:lvlText w:val="•"/>
      <w:lvlJc w:val="left"/>
      <w:pPr>
        <w:ind w:left="800" w:hanging="400"/>
      </w:pPr>
      <w:rPr>
        <w:rFonts w:ascii="굴림" w:hAnsi="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81F0ABD"/>
    <w:multiLevelType w:val="hybridMultilevel"/>
    <w:tmpl w:val="4876553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F570AC3"/>
    <w:multiLevelType w:val="hybridMultilevel"/>
    <w:tmpl w:val="922AD01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41"/>
  </w:num>
  <w:num w:numId="2">
    <w:abstractNumId w:val="41"/>
  </w:num>
  <w:num w:numId="3">
    <w:abstractNumId w:val="0"/>
  </w:num>
  <w:num w:numId="4">
    <w:abstractNumId w:val="19"/>
  </w:num>
  <w:num w:numId="5">
    <w:abstractNumId w:val="13"/>
  </w:num>
  <w:num w:numId="6">
    <w:abstractNumId w:val="42"/>
  </w:num>
  <w:num w:numId="7">
    <w:abstractNumId w:val="10"/>
  </w:num>
  <w:num w:numId="8">
    <w:abstractNumId w:val="12"/>
  </w:num>
  <w:num w:numId="9">
    <w:abstractNumId w:val="1"/>
  </w:num>
  <w:num w:numId="10">
    <w:abstractNumId w:val="3"/>
  </w:num>
  <w:num w:numId="11">
    <w:abstractNumId w:val="6"/>
  </w:num>
  <w:num w:numId="12">
    <w:abstractNumId w:val="8"/>
  </w:num>
  <w:num w:numId="13">
    <w:abstractNumId w:val="20"/>
  </w:num>
  <w:num w:numId="14">
    <w:abstractNumId w:val="25"/>
  </w:num>
  <w:num w:numId="15">
    <w:abstractNumId w:val="11"/>
  </w:num>
  <w:num w:numId="16">
    <w:abstractNumId w:val="33"/>
  </w:num>
  <w:num w:numId="17">
    <w:abstractNumId w:val="16"/>
  </w:num>
  <w:num w:numId="18">
    <w:abstractNumId w:val="40"/>
  </w:num>
  <w:num w:numId="19">
    <w:abstractNumId w:val="18"/>
  </w:num>
  <w:num w:numId="20">
    <w:abstractNumId w:val="21"/>
  </w:num>
  <w:num w:numId="21">
    <w:abstractNumId w:val="4"/>
  </w:num>
  <w:num w:numId="22">
    <w:abstractNumId w:val="35"/>
  </w:num>
  <w:num w:numId="23">
    <w:abstractNumId w:val="39"/>
  </w:num>
  <w:num w:numId="24">
    <w:abstractNumId w:val="26"/>
  </w:num>
  <w:num w:numId="25">
    <w:abstractNumId w:val="23"/>
  </w:num>
  <w:num w:numId="26">
    <w:abstractNumId w:val="38"/>
  </w:num>
  <w:num w:numId="27">
    <w:abstractNumId w:val="9"/>
  </w:num>
  <w:num w:numId="28">
    <w:abstractNumId w:val="28"/>
  </w:num>
  <w:num w:numId="29">
    <w:abstractNumId w:val="44"/>
  </w:num>
  <w:num w:numId="30">
    <w:abstractNumId w:val="29"/>
  </w:num>
  <w:num w:numId="31">
    <w:abstractNumId w:val="34"/>
  </w:num>
  <w:num w:numId="32">
    <w:abstractNumId w:val="15"/>
  </w:num>
  <w:num w:numId="33">
    <w:abstractNumId w:val="7"/>
  </w:num>
  <w:num w:numId="34">
    <w:abstractNumId w:val="37"/>
  </w:num>
  <w:num w:numId="35">
    <w:abstractNumId w:val="30"/>
  </w:num>
  <w:num w:numId="36">
    <w:abstractNumId w:val="36"/>
  </w:num>
  <w:num w:numId="37">
    <w:abstractNumId w:val="5"/>
  </w:num>
  <w:num w:numId="38">
    <w:abstractNumId w:val="27"/>
  </w:num>
  <w:num w:numId="39">
    <w:abstractNumId w:val="31"/>
  </w:num>
  <w:num w:numId="40">
    <w:abstractNumId w:val="32"/>
  </w:num>
  <w:num w:numId="41">
    <w:abstractNumId w:val="17"/>
  </w:num>
  <w:num w:numId="42">
    <w:abstractNumId w:val="2"/>
  </w:num>
  <w:num w:numId="43">
    <w:abstractNumId w:val="22"/>
  </w:num>
  <w:num w:numId="44">
    <w:abstractNumId w:val="43"/>
  </w:num>
  <w:num w:numId="45">
    <w:abstractNumId w:val="24"/>
  </w:num>
  <w:num w:numId="4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4E69"/>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4E4B"/>
    <w:rsid w:val="00014F85"/>
    <w:rsid w:val="00015273"/>
    <w:rsid w:val="0001527C"/>
    <w:rsid w:val="000159EC"/>
    <w:rsid w:val="00015CB5"/>
    <w:rsid w:val="00015E3A"/>
    <w:rsid w:val="00015E3D"/>
    <w:rsid w:val="000163EB"/>
    <w:rsid w:val="00016B06"/>
    <w:rsid w:val="00016C28"/>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38"/>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B6C"/>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1AC"/>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4D1"/>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070"/>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31F9"/>
    <w:rsid w:val="000D41C2"/>
    <w:rsid w:val="000D41C4"/>
    <w:rsid w:val="000D4A1B"/>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31F"/>
    <w:rsid w:val="00104AB8"/>
    <w:rsid w:val="001053E1"/>
    <w:rsid w:val="001056FF"/>
    <w:rsid w:val="00105E3E"/>
    <w:rsid w:val="00105E44"/>
    <w:rsid w:val="00105F63"/>
    <w:rsid w:val="001062FE"/>
    <w:rsid w:val="00107160"/>
    <w:rsid w:val="00110144"/>
    <w:rsid w:val="00110D35"/>
    <w:rsid w:val="001116AB"/>
    <w:rsid w:val="00111725"/>
    <w:rsid w:val="00111F81"/>
    <w:rsid w:val="00112306"/>
    <w:rsid w:val="00112938"/>
    <w:rsid w:val="00112988"/>
    <w:rsid w:val="00112C25"/>
    <w:rsid w:val="001135C5"/>
    <w:rsid w:val="00113A33"/>
    <w:rsid w:val="00114202"/>
    <w:rsid w:val="00114267"/>
    <w:rsid w:val="001148A8"/>
    <w:rsid w:val="00115879"/>
    <w:rsid w:val="00115D1F"/>
    <w:rsid w:val="00115D3A"/>
    <w:rsid w:val="00115D3F"/>
    <w:rsid w:val="001166FB"/>
    <w:rsid w:val="00117122"/>
    <w:rsid w:val="001175C6"/>
    <w:rsid w:val="00117623"/>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27C5A"/>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4F64"/>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827"/>
    <w:rsid w:val="001938B2"/>
    <w:rsid w:val="00193AFE"/>
    <w:rsid w:val="00193E15"/>
    <w:rsid w:val="00194092"/>
    <w:rsid w:val="00195147"/>
    <w:rsid w:val="00195367"/>
    <w:rsid w:val="001953E5"/>
    <w:rsid w:val="00195514"/>
    <w:rsid w:val="00196738"/>
    <w:rsid w:val="001968BD"/>
    <w:rsid w:val="00197026"/>
    <w:rsid w:val="001A051D"/>
    <w:rsid w:val="001A08B0"/>
    <w:rsid w:val="001A0C12"/>
    <w:rsid w:val="001A0D20"/>
    <w:rsid w:val="001A1248"/>
    <w:rsid w:val="001A16DA"/>
    <w:rsid w:val="001A17F2"/>
    <w:rsid w:val="001A18E1"/>
    <w:rsid w:val="001A2397"/>
    <w:rsid w:val="001A2826"/>
    <w:rsid w:val="001A29A0"/>
    <w:rsid w:val="001A29C0"/>
    <w:rsid w:val="001A2EC9"/>
    <w:rsid w:val="001A2F6F"/>
    <w:rsid w:val="001A32B5"/>
    <w:rsid w:val="001A330B"/>
    <w:rsid w:val="001A3864"/>
    <w:rsid w:val="001A38DF"/>
    <w:rsid w:val="001A3A9F"/>
    <w:rsid w:val="001A4154"/>
    <w:rsid w:val="001A6330"/>
    <w:rsid w:val="001A687A"/>
    <w:rsid w:val="001A6CC8"/>
    <w:rsid w:val="001A71EA"/>
    <w:rsid w:val="001A73A2"/>
    <w:rsid w:val="001A777D"/>
    <w:rsid w:val="001A77E3"/>
    <w:rsid w:val="001A7A6F"/>
    <w:rsid w:val="001A7E83"/>
    <w:rsid w:val="001B0075"/>
    <w:rsid w:val="001B096C"/>
    <w:rsid w:val="001B0DC7"/>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5CC1"/>
    <w:rsid w:val="001B66E0"/>
    <w:rsid w:val="001B68A0"/>
    <w:rsid w:val="001B69C8"/>
    <w:rsid w:val="001B6C63"/>
    <w:rsid w:val="001B7113"/>
    <w:rsid w:val="001B74FD"/>
    <w:rsid w:val="001B757B"/>
    <w:rsid w:val="001B7774"/>
    <w:rsid w:val="001B7F27"/>
    <w:rsid w:val="001C00BE"/>
    <w:rsid w:val="001C0414"/>
    <w:rsid w:val="001C0804"/>
    <w:rsid w:val="001C092C"/>
    <w:rsid w:val="001C1622"/>
    <w:rsid w:val="001C16E2"/>
    <w:rsid w:val="001C1D96"/>
    <w:rsid w:val="001C2122"/>
    <w:rsid w:val="001C2A2D"/>
    <w:rsid w:val="001C2C7F"/>
    <w:rsid w:val="001C2F4F"/>
    <w:rsid w:val="001C3236"/>
    <w:rsid w:val="001C3F18"/>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167"/>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563"/>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570"/>
    <w:rsid w:val="001F0A3D"/>
    <w:rsid w:val="001F0D2A"/>
    <w:rsid w:val="001F0DE7"/>
    <w:rsid w:val="001F16C9"/>
    <w:rsid w:val="001F17F5"/>
    <w:rsid w:val="001F1E2B"/>
    <w:rsid w:val="001F2210"/>
    <w:rsid w:val="001F253D"/>
    <w:rsid w:val="001F2573"/>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373"/>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9"/>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907"/>
    <w:rsid w:val="00232F90"/>
    <w:rsid w:val="002330F7"/>
    <w:rsid w:val="00233626"/>
    <w:rsid w:val="002339DA"/>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2AF"/>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812"/>
    <w:rsid w:val="00277845"/>
    <w:rsid w:val="00277C67"/>
    <w:rsid w:val="002801C7"/>
    <w:rsid w:val="00280956"/>
    <w:rsid w:val="00280C6C"/>
    <w:rsid w:val="00280EF9"/>
    <w:rsid w:val="002813E0"/>
    <w:rsid w:val="00281E3B"/>
    <w:rsid w:val="0028212A"/>
    <w:rsid w:val="00282437"/>
    <w:rsid w:val="00282C33"/>
    <w:rsid w:val="00283163"/>
    <w:rsid w:val="00283645"/>
    <w:rsid w:val="002837CF"/>
    <w:rsid w:val="0028419E"/>
    <w:rsid w:val="002850C7"/>
    <w:rsid w:val="00285A40"/>
    <w:rsid w:val="00285AAB"/>
    <w:rsid w:val="00285E58"/>
    <w:rsid w:val="00286014"/>
    <w:rsid w:val="00286250"/>
    <w:rsid w:val="00286CD9"/>
    <w:rsid w:val="00286F0C"/>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5875"/>
    <w:rsid w:val="00296CDE"/>
    <w:rsid w:val="00296D39"/>
    <w:rsid w:val="00297557"/>
    <w:rsid w:val="00297A28"/>
    <w:rsid w:val="002A104F"/>
    <w:rsid w:val="002A20BE"/>
    <w:rsid w:val="002A361E"/>
    <w:rsid w:val="002A3F1F"/>
    <w:rsid w:val="002A4EDC"/>
    <w:rsid w:val="002A4EF3"/>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B7F"/>
    <w:rsid w:val="002B7083"/>
    <w:rsid w:val="002B71A4"/>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2971"/>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A5F"/>
    <w:rsid w:val="002D2DB4"/>
    <w:rsid w:val="002D2DF7"/>
    <w:rsid w:val="002D3001"/>
    <w:rsid w:val="002D3E43"/>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3E8D"/>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15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6D6"/>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183"/>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854"/>
    <w:rsid w:val="003259A7"/>
    <w:rsid w:val="00325BE8"/>
    <w:rsid w:val="00325CB8"/>
    <w:rsid w:val="00326914"/>
    <w:rsid w:val="00326AC5"/>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196"/>
    <w:rsid w:val="00336376"/>
    <w:rsid w:val="00336675"/>
    <w:rsid w:val="00337E31"/>
    <w:rsid w:val="00337EE5"/>
    <w:rsid w:val="0034008E"/>
    <w:rsid w:val="0034011F"/>
    <w:rsid w:val="00340AB1"/>
    <w:rsid w:val="003417FB"/>
    <w:rsid w:val="0034227B"/>
    <w:rsid w:val="003426D1"/>
    <w:rsid w:val="00343634"/>
    <w:rsid w:val="00343736"/>
    <w:rsid w:val="0034389D"/>
    <w:rsid w:val="00344865"/>
    <w:rsid w:val="00344DDC"/>
    <w:rsid w:val="003453D1"/>
    <w:rsid w:val="003453DC"/>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13"/>
    <w:rsid w:val="00357DB1"/>
    <w:rsid w:val="003604CC"/>
    <w:rsid w:val="003619BB"/>
    <w:rsid w:val="00362710"/>
    <w:rsid w:val="003627AF"/>
    <w:rsid w:val="003627CE"/>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69F"/>
    <w:rsid w:val="0038771B"/>
    <w:rsid w:val="00387F61"/>
    <w:rsid w:val="003906FD"/>
    <w:rsid w:val="00390BAD"/>
    <w:rsid w:val="00391E1B"/>
    <w:rsid w:val="00392424"/>
    <w:rsid w:val="0039245B"/>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AB2"/>
    <w:rsid w:val="003B2B4E"/>
    <w:rsid w:val="003B385F"/>
    <w:rsid w:val="003B39A8"/>
    <w:rsid w:val="003B40B8"/>
    <w:rsid w:val="003B4252"/>
    <w:rsid w:val="003B511C"/>
    <w:rsid w:val="003B52EF"/>
    <w:rsid w:val="003B5521"/>
    <w:rsid w:val="003B56D7"/>
    <w:rsid w:val="003B5FFA"/>
    <w:rsid w:val="003B6537"/>
    <w:rsid w:val="003B69AB"/>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0B"/>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8"/>
    <w:rsid w:val="003E664E"/>
    <w:rsid w:val="003E66B9"/>
    <w:rsid w:val="003E6CD2"/>
    <w:rsid w:val="003E73C9"/>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439"/>
    <w:rsid w:val="003F49A2"/>
    <w:rsid w:val="003F4D54"/>
    <w:rsid w:val="003F504B"/>
    <w:rsid w:val="003F5CCF"/>
    <w:rsid w:val="003F5E93"/>
    <w:rsid w:val="003F6FED"/>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9FB"/>
    <w:rsid w:val="00403EED"/>
    <w:rsid w:val="004044F8"/>
    <w:rsid w:val="00405567"/>
    <w:rsid w:val="00405A0D"/>
    <w:rsid w:val="00405CC0"/>
    <w:rsid w:val="00405D99"/>
    <w:rsid w:val="00405E6B"/>
    <w:rsid w:val="0040602C"/>
    <w:rsid w:val="0040638D"/>
    <w:rsid w:val="00406D4D"/>
    <w:rsid w:val="00407AC5"/>
    <w:rsid w:val="00410227"/>
    <w:rsid w:val="0041028D"/>
    <w:rsid w:val="00410AE4"/>
    <w:rsid w:val="00410C4E"/>
    <w:rsid w:val="00410E67"/>
    <w:rsid w:val="00410F8D"/>
    <w:rsid w:val="00411153"/>
    <w:rsid w:val="004114FE"/>
    <w:rsid w:val="00411C3D"/>
    <w:rsid w:val="00411D73"/>
    <w:rsid w:val="0041218D"/>
    <w:rsid w:val="00412725"/>
    <w:rsid w:val="00412D4A"/>
    <w:rsid w:val="0041357E"/>
    <w:rsid w:val="0041372A"/>
    <w:rsid w:val="004138F8"/>
    <w:rsid w:val="00414164"/>
    <w:rsid w:val="00414955"/>
    <w:rsid w:val="00414994"/>
    <w:rsid w:val="004149C6"/>
    <w:rsid w:val="004157CB"/>
    <w:rsid w:val="00415D69"/>
    <w:rsid w:val="00415DF8"/>
    <w:rsid w:val="00415F2B"/>
    <w:rsid w:val="00416197"/>
    <w:rsid w:val="00416B83"/>
    <w:rsid w:val="00416EF7"/>
    <w:rsid w:val="00417065"/>
    <w:rsid w:val="0041723A"/>
    <w:rsid w:val="004179C1"/>
    <w:rsid w:val="00417F92"/>
    <w:rsid w:val="004200DC"/>
    <w:rsid w:val="004203BA"/>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3B"/>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116"/>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50B"/>
    <w:rsid w:val="004536ED"/>
    <w:rsid w:val="004537B5"/>
    <w:rsid w:val="00453B06"/>
    <w:rsid w:val="00453CB1"/>
    <w:rsid w:val="00454360"/>
    <w:rsid w:val="004545C8"/>
    <w:rsid w:val="00454D04"/>
    <w:rsid w:val="00454E2A"/>
    <w:rsid w:val="004550EE"/>
    <w:rsid w:val="004554A1"/>
    <w:rsid w:val="00455DC9"/>
    <w:rsid w:val="0045649B"/>
    <w:rsid w:val="00456F3D"/>
    <w:rsid w:val="00460680"/>
    <w:rsid w:val="00460B9A"/>
    <w:rsid w:val="00460F6A"/>
    <w:rsid w:val="00460F7E"/>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B7"/>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6AF"/>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C90"/>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1CF4"/>
    <w:rsid w:val="004B28F4"/>
    <w:rsid w:val="004B2B4C"/>
    <w:rsid w:val="004B37A1"/>
    <w:rsid w:val="004B3AFD"/>
    <w:rsid w:val="004B464E"/>
    <w:rsid w:val="004B47E3"/>
    <w:rsid w:val="004B4930"/>
    <w:rsid w:val="004B4D7C"/>
    <w:rsid w:val="004B4F1E"/>
    <w:rsid w:val="004B5442"/>
    <w:rsid w:val="004B544C"/>
    <w:rsid w:val="004B57AE"/>
    <w:rsid w:val="004B5C5D"/>
    <w:rsid w:val="004B5F29"/>
    <w:rsid w:val="004B64D4"/>
    <w:rsid w:val="004B753E"/>
    <w:rsid w:val="004B7C38"/>
    <w:rsid w:val="004C0CC9"/>
    <w:rsid w:val="004C125A"/>
    <w:rsid w:val="004C17E0"/>
    <w:rsid w:val="004C1B83"/>
    <w:rsid w:val="004C2636"/>
    <w:rsid w:val="004C2AEC"/>
    <w:rsid w:val="004C3734"/>
    <w:rsid w:val="004C3BD3"/>
    <w:rsid w:val="004C4243"/>
    <w:rsid w:val="004C4ED6"/>
    <w:rsid w:val="004C5721"/>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016E"/>
    <w:rsid w:val="004E1196"/>
    <w:rsid w:val="004E1372"/>
    <w:rsid w:val="004E1B50"/>
    <w:rsid w:val="004E1C8E"/>
    <w:rsid w:val="004E2F3C"/>
    <w:rsid w:val="004E32BD"/>
    <w:rsid w:val="004E37EE"/>
    <w:rsid w:val="004E423C"/>
    <w:rsid w:val="004E464C"/>
    <w:rsid w:val="004E64C8"/>
    <w:rsid w:val="004E6B76"/>
    <w:rsid w:val="004E7048"/>
    <w:rsid w:val="004E78D9"/>
    <w:rsid w:val="004E79D6"/>
    <w:rsid w:val="004F02C2"/>
    <w:rsid w:val="004F02E4"/>
    <w:rsid w:val="004F04CF"/>
    <w:rsid w:val="004F0886"/>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2BA7"/>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55F"/>
    <w:rsid w:val="00512B52"/>
    <w:rsid w:val="00512F77"/>
    <w:rsid w:val="00513292"/>
    <w:rsid w:val="00513E1D"/>
    <w:rsid w:val="00514717"/>
    <w:rsid w:val="00514AF1"/>
    <w:rsid w:val="005156A6"/>
    <w:rsid w:val="00515CE0"/>
    <w:rsid w:val="005160C5"/>
    <w:rsid w:val="0051626B"/>
    <w:rsid w:val="005164EF"/>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B14"/>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3D7"/>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5605B"/>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6547"/>
    <w:rsid w:val="005676BC"/>
    <w:rsid w:val="00567C57"/>
    <w:rsid w:val="00567F65"/>
    <w:rsid w:val="0057115B"/>
    <w:rsid w:val="005720ED"/>
    <w:rsid w:val="005721A7"/>
    <w:rsid w:val="00572759"/>
    <w:rsid w:val="00573440"/>
    <w:rsid w:val="00573B1A"/>
    <w:rsid w:val="00574E5A"/>
    <w:rsid w:val="00575092"/>
    <w:rsid w:val="00575C40"/>
    <w:rsid w:val="00575F87"/>
    <w:rsid w:val="00576E4E"/>
    <w:rsid w:val="0057703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4AA"/>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2AF"/>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2BE"/>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4207"/>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7F4"/>
    <w:rsid w:val="005D1C1D"/>
    <w:rsid w:val="005D255F"/>
    <w:rsid w:val="005D299F"/>
    <w:rsid w:val="005D29C2"/>
    <w:rsid w:val="005D2B43"/>
    <w:rsid w:val="005D320C"/>
    <w:rsid w:val="005D3B42"/>
    <w:rsid w:val="005D3D7D"/>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7DA"/>
    <w:rsid w:val="005F38AD"/>
    <w:rsid w:val="005F39CD"/>
    <w:rsid w:val="005F4162"/>
    <w:rsid w:val="005F46EE"/>
    <w:rsid w:val="005F5317"/>
    <w:rsid w:val="005F5495"/>
    <w:rsid w:val="005F5744"/>
    <w:rsid w:val="005F5F97"/>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4B9"/>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4F9F"/>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19A"/>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67F79"/>
    <w:rsid w:val="00670718"/>
    <w:rsid w:val="00670AA8"/>
    <w:rsid w:val="00670ACC"/>
    <w:rsid w:val="00672B19"/>
    <w:rsid w:val="00672B53"/>
    <w:rsid w:val="00672D88"/>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478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83C"/>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8EE"/>
    <w:rsid w:val="00764A60"/>
    <w:rsid w:val="00764AA3"/>
    <w:rsid w:val="00765311"/>
    <w:rsid w:val="00765373"/>
    <w:rsid w:val="00765676"/>
    <w:rsid w:val="00765C37"/>
    <w:rsid w:val="00765D69"/>
    <w:rsid w:val="007661C0"/>
    <w:rsid w:val="007663FC"/>
    <w:rsid w:val="00766B83"/>
    <w:rsid w:val="00766D34"/>
    <w:rsid w:val="00766F4D"/>
    <w:rsid w:val="007672BC"/>
    <w:rsid w:val="00767835"/>
    <w:rsid w:val="00767AA3"/>
    <w:rsid w:val="00767BB4"/>
    <w:rsid w:val="00770241"/>
    <w:rsid w:val="007702C4"/>
    <w:rsid w:val="0077036F"/>
    <w:rsid w:val="00771D63"/>
    <w:rsid w:val="0077239B"/>
    <w:rsid w:val="0077257E"/>
    <w:rsid w:val="007732C9"/>
    <w:rsid w:val="007733A3"/>
    <w:rsid w:val="00774122"/>
    <w:rsid w:val="00774302"/>
    <w:rsid w:val="007745A4"/>
    <w:rsid w:val="00774F6D"/>
    <w:rsid w:val="007752C6"/>
    <w:rsid w:val="00775446"/>
    <w:rsid w:val="00775992"/>
    <w:rsid w:val="00775E4F"/>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1995"/>
    <w:rsid w:val="00792D3C"/>
    <w:rsid w:val="0079411E"/>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55FC"/>
    <w:rsid w:val="007C6C7C"/>
    <w:rsid w:val="007C6DD4"/>
    <w:rsid w:val="007C711E"/>
    <w:rsid w:val="007C74BB"/>
    <w:rsid w:val="007C783D"/>
    <w:rsid w:val="007D0272"/>
    <w:rsid w:val="007D09D3"/>
    <w:rsid w:val="007D26D9"/>
    <w:rsid w:val="007D27DA"/>
    <w:rsid w:val="007D2A4C"/>
    <w:rsid w:val="007D3060"/>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FB3"/>
    <w:rsid w:val="007E4038"/>
    <w:rsid w:val="007E43C6"/>
    <w:rsid w:val="007E4458"/>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9A1"/>
    <w:rsid w:val="00803AAB"/>
    <w:rsid w:val="00803AAC"/>
    <w:rsid w:val="00804153"/>
    <w:rsid w:val="00804230"/>
    <w:rsid w:val="00804275"/>
    <w:rsid w:val="00804654"/>
    <w:rsid w:val="008048B6"/>
    <w:rsid w:val="00804C8C"/>
    <w:rsid w:val="00805431"/>
    <w:rsid w:val="0080599E"/>
    <w:rsid w:val="00806379"/>
    <w:rsid w:val="00807001"/>
    <w:rsid w:val="00807060"/>
    <w:rsid w:val="008070C2"/>
    <w:rsid w:val="00810829"/>
    <w:rsid w:val="00811494"/>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3C13"/>
    <w:rsid w:val="00833E5A"/>
    <w:rsid w:val="00834103"/>
    <w:rsid w:val="00834594"/>
    <w:rsid w:val="008345BB"/>
    <w:rsid w:val="00834D9D"/>
    <w:rsid w:val="0083692D"/>
    <w:rsid w:val="0083774B"/>
    <w:rsid w:val="00837D0D"/>
    <w:rsid w:val="00840B73"/>
    <w:rsid w:val="00840D1C"/>
    <w:rsid w:val="00841620"/>
    <w:rsid w:val="00841E68"/>
    <w:rsid w:val="00842192"/>
    <w:rsid w:val="00842316"/>
    <w:rsid w:val="0084339F"/>
    <w:rsid w:val="008433CD"/>
    <w:rsid w:val="00843966"/>
    <w:rsid w:val="00843AC7"/>
    <w:rsid w:val="0084407F"/>
    <w:rsid w:val="0084410B"/>
    <w:rsid w:val="00844613"/>
    <w:rsid w:val="00845646"/>
    <w:rsid w:val="0084663E"/>
    <w:rsid w:val="008471B5"/>
    <w:rsid w:val="00847417"/>
    <w:rsid w:val="00847480"/>
    <w:rsid w:val="008474A3"/>
    <w:rsid w:val="00850668"/>
    <w:rsid w:val="008507B8"/>
    <w:rsid w:val="00850848"/>
    <w:rsid w:val="008512FC"/>
    <w:rsid w:val="00852700"/>
    <w:rsid w:val="00852A76"/>
    <w:rsid w:val="008539BD"/>
    <w:rsid w:val="00853D16"/>
    <w:rsid w:val="00853D36"/>
    <w:rsid w:val="00854D1F"/>
    <w:rsid w:val="00854F6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0F9"/>
    <w:rsid w:val="008658EB"/>
    <w:rsid w:val="00865998"/>
    <w:rsid w:val="00865DB1"/>
    <w:rsid w:val="0086779C"/>
    <w:rsid w:val="00867A18"/>
    <w:rsid w:val="00867A51"/>
    <w:rsid w:val="00870077"/>
    <w:rsid w:val="00870657"/>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2B4D"/>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57A"/>
    <w:rsid w:val="00892B2B"/>
    <w:rsid w:val="00892C89"/>
    <w:rsid w:val="0089324D"/>
    <w:rsid w:val="008933D7"/>
    <w:rsid w:val="008934C8"/>
    <w:rsid w:val="00893DFB"/>
    <w:rsid w:val="00894449"/>
    <w:rsid w:val="008947DC"/>
    <w:rsid w:val="00895A3D"/>
    <w:rsid w:val="00895BD3"/>
    <w:rsid w:val="00895C95"/>
    <w:rsid w:val="00895FC3"/>
    <w:rsid w:val="00895FFD"/>
    <w:rsid w:val="008960FA"/>
    <w:rsid w:val="0089650B"/>
    <w:rsid w:val="00896761"/>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F4D"/>
    <w:rsid w:val="008C15DE"/>
    <w:rsid w:val="008C1F7C"/>
    <w:rsid w:val="008C214F"/>
    <w:rsid w:val="008C242C"/>
    <w:rsid w:val="008C246E"/>
    <w:rsid w:val="008C2C29"/>
    <w:rsid w:val="008C2E11"/>
    <w:rsid w:val="008C30DE"/>
    <w:rsid w:val="008C33B7"/>
    <w:rsid w:val="008C37EE"/>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B07"/>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0F2"/>
    <w:rsid w:val="008E275A"/>
    <w:rsid w:val="008E2773"/>
    <w:rsid w:val="008E27F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18C"/>
    <w:rsid w:val="008F1631"/>
    <w:rsid w:val="008F1B0B"/>
    <w:rsid w:val="008F1F12"/>
    <w:rsid w:val="008F29CE"/>
    <w:rsid w:val="008F3644"/>
    <w:rsid w:val="008F367D"/>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5260"/>
    <w:rsid w:val="00915A31"/>
    <w:rsid w:val="00915A6B"/>
    <w:rsid w:val="009160A1"/>
    <w:rsid w:val="00916AE9"/>
    <w:rsid w:val="00916C71"/>
    <w:rsid w:val="00916D14"/>
    <w:rsid w:val="009173EB"/>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1E09"/>
    <w:rsid w:val="009426A8"/>
    <w:rsid w:val="00942992"/>
    <w:rsid w:val="00942D0F"/>
    <w:rsid w:val="00943B4D"/>
    <w:rsid w:val="00943DB6"/>
    <w:rsid w:val="00943FE0"/>
    <w:rsid w:val="009452E6"/>
    <w:rsid w:val="0094534D"/>
    <w:rsid w:val="0094570E"/>
    <w:rsid w:val="009457A5"/>
    <w:rsid w:val="009458DE"/>
    <w:rsid w:val="00945CA9"/>
    <w:rsid w:val="00946B73"/>
    <w:rsid w:val="009470DF"/>
    <w:rsid w:val="009471D4"/>
    <w:rsid w:val="00947C36"/>
    <w:rsid w:val="00947F5B"/>
    <w:rsid w:val="0095003C"/>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3E4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B15"/>
    <w:rsid w:val="00971CB5"/>
    <w:rsid w:val="00971CF0"/>
    <w:rsid w:val="009726C0"/>
    <w:rsid w:val="00972BF6"/>
    <w:rsid w:val="00972C1C"/>
    <w:rsid w:val="009738AB"/>
    <w:rsid w:val="00973983"/>
    <w:rsid w:val="009746F7"/>
    <w:rsid w:val="00974B60"/>
    <w:rsid w:val="00974DF9"/>
    <w:rsid w:val="00974EC7"/>
    <w:rsid w:val="00975026"/>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0D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1DC"/>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5F14"/>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90E"/>
    <w:rsid w:val="009F604A"/>
    <w:rsid w:val="009F6194"/>
    <w:rsid w:val="009F63B1"/>
    <w:rsid w:val="009F672C"/>
    <w:rsid w:val="009F73AF"/>
    <w:rsid w:val="009F7833"/>
    <w:rsid w:val="009F7C42"/>
    <w:rsid w:val="00A00025"/>
    <w:rsid w:val="00A00064"/>
    <w:rsid w:val="00A00335"/>
    <w:rsid w:val="00A004CC"/>
    <w:rsid w:val="00A00769"/>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2C7"/>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2D8"/>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CA2"/>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3E9"/>
    <w:rsid w:val="00A5468C"/>
    <w:rsid w:val="00A5469A"/>
    <w:rsid w:val="00A54ABE"/>
    <w:rsid w:val="00A54C3A"/>
    <w:rsid w:val="00A555AF"/>
    <w:rsid w:val="00A5607D"/>
    <w:rsid w:val="00A5620D"/>
    <w:rsid w:val="00A56ABE"/>
    <w:rsid w:val="00A56D3D"/>
    <w:rsid w:val="00A56D81"/>
    <w:rsid w:val="00A605DB"/>
    <w:rsid w:val="00A6060D"/>
    <w:rsid w:val="00A60692"/>
    <w:rsid w:val="00A608DC"/>
    <w:rsid w:val="00A60D0D"/>
    <w:rsid w:val="00A61CB8"/>
    <w:rsid w:val="00A62141"/>
    <w:rsid w:val="00A62172"/>
    <w:rsid w:val="00A62BF4"/>
    <w:rsid w:val="00A62CE8"/>
    <w:rsid w:val="00A6324F"/>
    <w:rsid w:val="00A63303"/>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6A"/>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1447"/>
    <w:rsid w:val="00AA24CA"/>
    <w:rsid w:val="00AA276B"/>
    <w:rsid w:val="00AA34F5"/>
    <w:rsid w:val="00AA378E"/>
    <w:rsid w:val="00AA39BC"/>
    <w:rsid w:val="00AA3C9D"/>
    <w:rsid w:val="00AA45B7"/>
    <w:rsid w:val="00AA4D62"/>
    <w:rsid w:val="00AA553F"/>
    <w:rsid w:val="00AA60F5"/>
    <w:rsid w:val="00AA67EB"/>
    <w:rsid w:val="00AA6A8D"/>
    <w:rsid w:val="00AA6C78"/>
    <w:rsid w:val="00AA70FE"/>
    <w:rsid w:val="00AA719E"/>
    <w:rsid w:val="00AA74E4"/>
    <w:rsid w:val="00AA779A"/>
    <w:rsid w:val="00AA781C"/>
    <w:rsid w:val="00AB08E4"/>
    <w:rsid w:val="00AB1340"/>
    <w:rsid w:val="00AB1D90"/>
    <w:rsid w:val="00AB2487"/>
    <w:rsid w:val="00AB3774"/>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2E45"/>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2D81"/>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01"/>
    <w:rsid w:val="00B40941"/>
    <w:rsid w:val="00B40A93"/>
    <w:rsid w:val="00B41A25"/>
    <w:rsid w:val="00B425E6"/>
    <w:rsid w:val="00B42755"/>
    <w:rsid w:val="00B42C91"/>
    <w:rsid w:val="00B42C9C"/>
    <w:rsid w:val="00B43161"/>
    <w:rsid w:val="00B4359A"/>
    <w:rsid w:val="00B44265"/>
    <w:rsid w:val="00B4476D"/>
    <w:rsid w:val="00B44C21"/>
    <w:rsid w:val="00B453F9"/>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3FE9"/>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2F1D"/>
    <w:rsid w:val="00B633C1"/>
    <w:rsid w:val="00B63697"/>
    <w:rsid w:val="00B63AB7"/>
    <w:rsid w:val="00B63D12"/>
    <w:rsid w:val="00B640D7"/>
    <w:rsid w:val="00B644D4"/>
    <w:rsid w:val="00B65390"/>
    <w:rsid w:val="00B653A2"/>
    <w:rsid w:val="00B65586"/>
    <w:rsid w:val="00B65C4E"/>
    <w:rsid w:val="00B66156"/>
    <w:rsid w:val="00B66310"/>
    <w:rsid w:val="00B670C9"/>
    <w:rsid w:val="00B671CD"/>
    <w:rsid w:val="00B6766B"/>
    <w:rsid w:val="00B67823"/>
    <w:rsid w:val="00B6789D"/>
    <w:rsid w:val="00B704B5"/>
    <w:rsid w:val="00B70A59"/>
    <w:rsid w:val="00B71BB8"/>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66"/>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973"/>
    <w:rsid w:val="00B92A98"/>
    <w:rsid w:val="00B92B67"/>
    <w:rsid w:val="00B9366F"/>
    <w:rsid w:val="00B93B71"/>
    <w:rsid w:val="00B93EEF"/>
    <w:rsid w:val="00B94413"/>
    <w:rsid w:val="00B94AC2"/>
    <w:rsid w:val="00B94F90"/>
    <w:rsid w:val="00B95724"/>
    <w:rsid w:val="00B95951"/>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246"/>
    <w:rsid w:val="00BA7481"/>
    <w:rsid w:val="00BA7CC5"/>
    <w:rsid w:val="00BA7E93"/>
    <w:rsid w:val="00BB00C0"/>
    <w:rsid w:val="00BB08FF"/>
    <w:rsid w:val="00BB10BD"/>
    <w:rsid w:val="00BB142C"/>
    <w:rsid w:val="00BB1851"/>
    <w:rsid w:val="00BB1CB8"/>
    <w:rsid w:val="00BB1D99"/>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0E71"/>
    <w:rsid w:val="00BC17A7"/>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608"/>
    <w:rsid w:val="00BE57B8"/>
    <w:rsid w:val="00BE5FE1"/>
    <w:rsid w:val="00BE6042"/>
    <w:rsid w:val="00BE6E92"/>
    <w:rsid w:val="00BE70C0"/>
    <w:rsid w:val="00BE7ACA"/>
    <w:rsid w:val="00BE7FE7"/>
    <w:rsid w:val="00BF17F7"/>
    <w:rsid w:val="00BF1BAF"/>
    <w:rsid w:val="00BF1C89"/>
    <w:rsid w:val="00BF1FED"/>
    <w:rsid w:val="00BF288C"/>
    <w:rsid w:val="00BF28C4"/>
    <w:rsid w:val="00BF2AB0"/>
    <w:rsid w:val="00BF36AE"/>
    <w:rsid w:val="00BF3956"/>
    <w:rsid w:val="00BF3C4C"/>
    <w:rsid w:val="00BF3F37"/>
    <w:rsid w:val="00BF4055"/>
    <w:rsid w:val="00BF43D9"/>
    <w:rsid w:val="00BF46E1"/>
    <w:rsid w:val="00BF4984"/>
    <w:rsid w:val="00BF4D52"/>
    <w:rsid w:val="00BF5275"/>
    <w:rsid w:val="00BF59C8"/>
    <w:rsid w:val="00BF5B52"/>
    <w:rsid w:val="00BF5DA8"/>
    <w:rsid w:val="00BF6144"/>
    <w:rsid w:val="00BF6555"/>
    <w:rsid w:val="00BF74B6"/>
    <w:rsid w:val="00BF799A"/>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13F"/>
    <w:rsid w:val="00C21426"/>
    <w:rsid w:val="00C219D0"/>
    <w:rsid w:val="00C2248D"/>
    <w:rsid w:val="00C22596"/>
    <w:rsid w:val="00C22D06"/>
    <w:rsid w:val="00C22F16"/>
    <w:rsid w:val="00C23461"/>
    <w:rsid w:val="00C238EE"/>
    <w:rsid w:val="00C23D54"/>
    <w:rsid w:val="00C2432D"/>
    <w:rsid w:val="00C243B6"/>
    <w:rsid w:val="00C26E36"/>
    <w:rsid w:val="00C27160"/>
    <w:rsid w:val="00C2719B"/>
    <w:rsid w:val="00C273AB"/>
    <w:rsid w:val="00C278FD"/>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2BF"/>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631"/>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145"/>
    <w:rsid w:val="00C54697"/>
    <w:rsid w:val="00C54A4E"/>
    <w:rsid w:val="00C5546A"/>
    <w:rsid w:val="00C5591C"/>
    <w:rsid w:val="00C566F3"/>
    <w:rsid w:val="00C5704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A1E"/>
    <w:rsid w:val="00C90C8D"/>
    <w:rsid w:val="00C91674"/>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453"/>
    <w:rsid w:val="00CC67E3"/>
    <w:rsid w:val="00CC6B0A"/>
    <w:rsid w:val="00CC6BA1"/>
    <w:rsid w:val="00CC6BA9"/>
    <w:rsid w:val="00CC7160"/>
    <w:rsid w:val="00CC7201"/>
    <w:rsid w:val="00CC74C1"/>
    <w:rsid w:val="00CD0147"/>
    <w:rsid w:val="00CD1386"/>
    <w:rsid w:val="00CD1435"/>
    <w:rsid w:val="00CD1D3D"/>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5E60"/>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1CEB"/>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7CD"/>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A4C"/>
    <w:rsid w:val="00D63DEC"/>
    <w:rsid w:val="00D64210"/>
    <w:rsid w:val="00D6471A"/>
    <w:rsid w:val="00D647F8"/>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611C"/>
    <w:rsid w:val="00DC6741"/>
    <w:rsid w:val="00DC6C9E"/>
    <w:rsid w:val="00DC7664"/>
    <w:rsid w:val="00DC782C"/>
    <w:rsid w:val="00DC7F23"/>
    <w:rsid w:val="00DD0517"/>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5E8C"/>
    <w:rsid w:val="00DD6374"/>
    <w:rsid w:val="00DD6A1B"/>
    <w:rsid w:val="00DD71B0"/>
    <w:rsid w:val="00DD726E"/>
    <w:rsid w:val="00DD7839"/>
    <w:rsid w:val="00DD78BE"/>
    <w:rsid w:val="00DD7DD3"/>
    <w:rsid w:val="00DE0047"/>
    <w:rsid w:val="00DE03ED"/>
    <w:rsid w:val="00DE0BEA"/>
    <w:rsid w:val="00DE0DEC"/>
    <w:rsid w:val="00DE1348"/>
    <w:rsid w:val="00DE1C97"/>
    <w:rsid w:val="00DE1E4C"/>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2E2"/>
    <w:rsid w:val="00DE74CF"/>
    <w:rsid w:val="00DE7899"/>
    <w:rsid w:val="00DE79D3"/>
    <w:rsid w:val="00DF0B3A"/>
    <w:rsid w:val="00DF0E9C"/>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4BDE"/>
    <w:rsid w:val="00E05360"/>
    <w:rsid w:val="00E054A7"/>
    <w:rsid w:val="00E05DE1"/>
    <w:rsid w:val="00E06678"/>
    <w:rsid w:val="00E0718C"/>
    <w:rsid w:val="00E102E3"/>
    <w:rsid w:val="00E10453"/>
    <w:rsid w:val="00E10555"/>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511"/>
    <w:rsid w:val="00E316C8"/>
    <w:rsid w:val="00E3260A"/>
    <w:rsid w:val="00E33264"/>
    <w:rsid w:val="00E3339D"/>
    <w:rsid w:val="00E337F8"/>
    <w:rsid w:val="00E33B42"/>
    <w:rsid w:val="00E3409B"/>
    <w:rsid w:val="00E340F2"/>
    <w:rsid w:val="00E341B7"/>
    <w:rsid w:val="00E34559"/>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5C85"/>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0D29"/>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BF5"/>
    <w:rsid w:val="00E92C2C"/>
    <w:rsid w:val="00E92CAE"/>
    <w:rsid w:val="00E92E62"/>
    <w:rsid w:val="00E92E84"/>
    <w:rsid w:val="00E93253"/>
    <w:rsid w:val="00E9350D"/>
    <w:rsid w:val="00E94FA4"/>
    <w:rsid w:val="00E9519C"/>
    <w:rsid w:val="00E954AF"/>
    <w:rsid w:val="00E95B6B"/>
    <w:rsid w:val="00E96802"/>
    <w:rsid w:val="00E969B5"/>
    <w:rsid w:val="00E96BD0"/>
    <w:rsid w:val="00E970BC"/>
    <w:rsid w:val="00E97320"/>
    <w:rsid w:val="00E973E1"/>
    <w:rsid w:val="00E97996"/>
    <w:rsid w:val="00E97EBE"/>
    <w:rsid w:val="00EA045A"/>
    <w:rsid w:val="00EA1265"/>
    <w:rsid w:val="00EA1ACC"/>
    <w:rsid w:val="00EA1C51"/>
    <w:rsid w:val="00EA1F63"/>
    <w:rsid w:val="00EA20F8"/>
    <w:rsid w:val="00EA2282"/>
    <w:rsid w:val="00EA28B8"/>
    <w:rsid w:val="00EA29BE"/>
    <w:rsid w:val="00EA2A34"/>
    <w:rsid w:val="00EA2B5D"/>
    <w:rsid w:val="00EA2C80"/>
    <w:rsid w:val="00EA347D"/>
    <w:rsid w:val="00EA3691"/>
    <w:rsid w:val="00EA3CCC"/>
    <w:rsid w:val="00EA4C66"/>
    <w:rsid w:val="00EA4F8F"/>
    <w:rsid w:val="00EA6116"/>
    <w:rsid w:val="00EA623D"/>
    <w:rsid w:val="00EA657B"/>
    <w:rsid w:val="00EA6DC1"/>
    <w:rsid w:val="00EA6E5A"/>
    <w:rsid w:val="00EA7563"/>
    <w:rsid w:val="00EA7767"/>
    <w:rsid w:val="00EA7BC2"/>
    <w:rsid w:val="00EA7E07"/>
    <w:rsid w:val="00EB0F82"/>
    <w:rsid w:val="00EB1284"/>
    <w:rsid w:val="00EB18E3"/>
    <w:rsid w:val="00EB1B0B"/>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1C5E"/>
    <w:rsid w:val="00EC20C7"/>
    <w:rsid w:val="00EC24BA"/>
    <w:rsid w:val="00EC2928"/>
    <w:rsid w:val="00EC2AC1"/>
    <w:rsid w:val="00EC3577"/>
    <w:rsid w:val="00EC38BF"/>
    <w:rsid w:val="00EC38D7"/>
    <w:rsid w:val="00EC39A9"/>
    <w:rsid w:val="00EC3CD2"/>
    <w:rsid w:val="00EC446F"/>
    <w:rsid w:val="00EC5220"/>
    <w:rsid w:val="00EC691B"/>
    <w:rsid w:val="00EC6F9F"/>
    <w:rsid w:val="00ED016E"/>
    <w:rsid w:val="00ED01D6"/>
    <w:rsid w:val="00ED0A6C"/>
    <w:rsid w:val="00ED0F19"/>
    <w:rsid w:val="00ED119C"/>
    <w:rsid w:val="00ED1208"/>
    <w:rsid w:val="00ED174E"/>
    <w:rsid w:val="00ED1A19"/>
    <w:rsid w:val="00ED1EE4"/>
    <w:rsid w:val="00ED1F6F"/>
    <w:rsid w:val="00ED30AC"/>
    <w:rsid w:val="00ED30B7"/>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52"/>
    <w:rsid w:val="00F021C4"/>
    <w:rsid w:val="00F025AD"/>
    <w:rsid w:val="00F02C06"/>
    <w:rsid w:val="00F02C7E"/>
    <w:rsid w:val="00F02D3C"/>
    <w:rsid w:val="00F03581"/>
    <w:rsid w:val="00F03712"/>
    <w:rsid w:val="00F03D83"/>
    <w:rsid w:val="00F0599E"/>
    <w:rsid w:val="00F0623C"/>
    <w:rsid w:val="00F06753"/>
    <w:rsid w:val="00F0680C"/>
    <w:rsid w:val="00F068D6"/>
    <w:rsid w:val="00F07261"/>
    <w:rsid w:val="00F072D2"/>
    <w:rsid w:val="00F07DAE"/>
    <w:rsid w:val="00F1013C"/>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26B"/>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801"/>
    <w:rsid w:val="00F51C52"/>
    <w:rsid w:val="00F522D9"/>
    <w:rsid w:val="00F5279C"/>
    <w:rsid w:val="00F529BC"/>
    <w:rsid w:val="00F52E73"/>
    <w:rsid w:val="00F530EB"/>
    <w:rsid w:val="00F53523"/>
    <w:rsid w:val="00F537A0"/>
    <w:rsid w:val="00F53963"/>
    <w:rsid w:val="00F54350"/>
    <w:rsid w:val="00F54A48"/>
    <w:rsid w:val="00F54D80"/>
    <w:rsid w:val="00F5523B"/>
    <w:rsid w:val="00F555DC"/>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1F4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0E53"/>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D7D39"/>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F1D"/>
    <w:rsid w:val="00FF0F26"/>
    <w:rsid w:val="00FF1301"/>
    <w:rsid w:val="00FF1D72"/>
    <w:rsid w:val="00FF1FC2"/>
    <w:rsid w:val="00FF26FC"/>
    <w:rsid w:val="00FF2AF7"/>
    <w:rsid w:val="00FF2C67"/>
    <w:rsid w:val="00FF31E6"/>
    <w:rsid w:val="00FF4532"/>
    <w:rsid w:val="00FF4A91"/>
    <w:rsid w:val="00FF4FC7"/>
    <w:rsid w:val="00FF575D"/>
    <w:rsid w:val="00FF57E4"/>
    <w:rsid w:val="00FF5A55"/>
    <w:rsid w:val="00FF5D6F"/>
    <w:rsid w:val="00FF5F41"/>
    <w:rsid w:val="00FF6118"/>
    <w:rsid w:val="00FF6944"/>
    <w:rsid w:val="00FF6CE2"/>
    <w:rsid w:val="00FF6DA5"/>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65F3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Comments">
    <w:name w:val="Comments"/>
    <w:basedOn w:val="a1"/>
    <w:link w:val="CommentsChar"/>
    <w:qFormat/>
    <w:rsid w:val="003D5A0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3D5A0B"/>
    <w:rPr>
      <w:rFonts w:ascii="Arial" w:eastAsia="MS Mincho" w:hAnsi="Arial"/>
      <w:i/>
      <w:sz w:val="18"/>
      <w:szCs w:val="24"/>
      <w:lang w:val="en-GB" w:eastAsia="en-GB"/>
    </w:rPr>
  </w:style>
  <w:style w:type="character" w:customStyle="1" w:styleId="B2Char">
    <w:name w:val="B2 Char"/>
    <w:basedOn w:val="a2"/>
    <w:link w:val="B2"/>
    <w:locked/>
    <w:rsid w:val="002C2971"/>
    <w:rPr>
      <w:rFonts w:eastAsia="MS Mincho"/>
      <w:lang w:val="en-GB" w:eastAsia="ja-JP"/>
    </w:rPr>
  </w:style>
  <w:style w:type="paragraph" w:customStyle="1" w:styleId="bullet1">
    <w:name w:val="bullet1"/>
    <w:basedOn w:val="a1"/>
    <w:link w:val="bullet1Char"/>
    <w:qFormat/>
    <w:rsid w:val="00E34559"/>
    <w:pPr>
      <w:numPr>
        <w:numId w:val="31"/>
      </w:numPr>
      <w:spacing w:before="0" w:after="0" w:line="240" w:lineRule="auto"/>
      <w:jc w:val="left"/>
    </w:pPr>
    <w:rPr>
      <w:rFonts w:ascii="Calibri" w:eastAsia="SimSun" w:hAnsi="Calibri"/>
      <w:kern w:val="2"/>
      <w:sz w:val="24"/>
      <w:szCs w:val="24"/>
      <w:lang w:eastAsia="zh-CN"/>
    </w:rPr>
  </w:style>
  <w:style w:type="paragraph" w:customStyle="1" w:styleId="bullet2">
    <w:name w:val="bullet2"/>
    <w:basedOn w:val="a1"/>
    <w:link w:val="bullet2Char"/>
    <w:qFormat/>
    <w:rsid w:val="00E34559"/>
    <w:pPr>
      <w:numPr>
        <w:ilvl w:val="1"/>
        <w:numId w:val="31"/>
      </w:numPr>
      <w:spacing w:before="0" w:after="0" w:line="240" w:lineRule="auto"/>
      <w:jc w:val="left"/>
    </w:pPr>
    <w:rPr>
      <w:rFonts w:ascii="Times" w:eastAsia="SimSun" w:hAnsi="Times"/>
      <w:kern w:val="2"/>
      <w:sz w:val="24"/>
      <w:szCs w:val="24"/>
      <w:lang w:eastAsia="zh-CN"/>
    </w:rPr>
  </w:style>
  <w:style w:type="character" w:customStyle="1" w:styleId="bullet1Char">
    <w:name w:val="bullet1 Char"/>
    <w:link w:val="bullet1"/>
    <w:rsid w:val="00E34559"/>
    <w:rPr>
      <w:rFonts w:ascii="Calibri" w:eastAsia="SimSun" w:hAnsi="Calibri"/>
      <w:kern w:val="2"/>
      <w:sz w:val="24"/>
      <w:szCs w:val="24"/>
      <w:lang w:val="en-GB" w:eastAsia="zh-CN"/>
    </w:rPr>
  </w:style>
  <w:style w:type="paragraph" w:customStyle="1" w:styleId="bullet3">
    <w:name w:val="bullet3"/>
    <w:basedOn w:val="a1"/>
    <w:qFormat/>
    <w:rsid w:val="00E34559"/>
    <w:pPr>
      <w:numPr>
        <w:ilvl w:val="2"/>
        <w:numId w:val="31"/>
      </w:numPr>
      <w:spacing w:before="0" w:after="0" w:line="240" w:lineRule="auto"/>
      <w:jc w:val="left"/>
    </w:pPr>
    <w:rPr>
      <w:rFonts w:ascii="Times" w:eastAsia="바탕" w:hAnsi="Times"/>
      <w:szCs w:val="24"/>
    </w:rPr>
  </w:style>
  <w:style w:type="character" w:customStyle="1" w:styleId="bullet2Char">
    <w:name w:val="bullet2 Char"/>
    <w:link w:val="bullet2"/>
    <w:rsid w:val="00E34559"/>
    <w:rPr>
      <w:rFonts w:ascii="Times" w:eastAsia="SimSun" w:hAnsi="Times"/>
      <w:kern w:val="2"/>
      <w:sz w:val="24"/>
      <w:szCs w:val="24"/>
      <w:lang w:val="en-GB" w:eastAsia="zh-CN"/>
    </w:rPr>
  </w:style>
  <w:style w:type="paragraph" w:customStyle="1" w:styleId="bullet4">
    <w:name w:val="bullet4"/>
    <w:basedOn w:val="a1"/>
    <w:qFormat/>
    <w:rsid w:val="00E34559"/>
    <w:pPr>
      <w:numPr>
        <w:ilvl w:val="3"/>
        <w:numId w:val="31"/>
      </w:numPr>
      <w:spacing w:before="0" w:after="0" w:line="240" w:lineRule="auto"/>
      <w:jc w:val="left"/>
    </w:pPr>
    <w:rPr>
      <w:rFonts w:ascii="Times" w:eastAsia="바탕"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507529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4397361">
      <w:bodyDiv w:val="1"/>
      <w:marLeft w:val="0"/>
      <w:marRight w:val="0"/>
      <w:marTop w:val="0"/>
      <w:marBottom w:val="0"/>
      <w:divBdr>
        <w:top w:val="none" w:sz="0" w:space="0" w:color="auto"/>
        <w:left w:val="none" w:sz="0" w:space="0" w:color="auto"/>
        <w:bottom w:val="none" w:sz="0" w:space="0" w:color="auto"/>
        <w:right w:val="none" w:sz="0" w:space="0" w:color="auto"/>
      </w:divBdr>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0367760">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797112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463792">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17946683">
      <w:bodyDiv w:val="1"/>
      <w:marLeft w:val="0"/>
      <w:marRight w:val="0"/>
      <w:marTop w:val="0"/>
      <w:marBottom w:val="0"/>
      <w:divBdr>
        <w:top w:val="none" w:sz="0" w:space="0" w:color="auto"/>
        <w:left w:val="none" w:sz="0" w:space="0" w:color="auto"/>
        <w:bottom w:val="none" w:sz="0" w:space="0" w:color="auto"/>
        <w:right w:val="none" w:sz="0" w:space="0" w:color="auto"/>
      </w:divBdr>
    </w:div>
    <w:div w:id="1476295881">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35033740">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5A4767-42E7-435A-B559-DEBCF96E2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882</Words>
  <Characters>5033</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김영태/책임연구원/차세대표준(연)CAS팀(youngtae99.kim@lge.com)</cp:lastModifiedBy>
  <cp:revision>3</cp:revision>
  <cp:lastPrinted>2016-05-13T07:55:00Z</cp:lastPrinted>
  <dcterms:created xsi:type="dcterms:W3CDTF">2018-09-28T12:32:00Z</dcterms:created>
  <dcterms:modified xsi:type="dcterms:W3CDTF">2018-09-28T12:33:00Z</dcterms:modified>
</cp:coreProperties>
</file>